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451FA" w:rsidRPr="00EE76A9" w:rsidRDefault="00D451FA" w:rsidP="00D451FA">
      <w:pPr>
        <w:pStyle w:val="Header"/>
        <w:tabs>
          <w:tab w:val="right" w:pos="9639"/>
        </w:tabs>
        <w:rPr>
          <w:bCs/>
          <w:i/>
          <w:noProof w:val="0"/>
          <w:sz w:val="32"/>
          <w:lang w:val="en-GB" w:eastAsia="zh-CN"/>
        </w:rPr>
      </w:pPr>
      <w:bookmarkStart w:id="0" w:name="OLE_LINK5"/>
      <w:bookmarkStart w:id="1" w:name="OLE_LINK6"/>
      <w:r w:rsidRPr="008C1FE3">
        <w:rPr>
          <w:bCs/>
          <w:noProof w:val="0"/>
          <w:sz w:val="24"/>
          <w:lang w:val="en-GB"/>
        </w:rPr>
        <w:t>3GPP T</w:t>
      </w:r>
      <w:bookmarkStart w:id="2" w:name="_Ref452454252"/>
      <w:bookmarkEnd w:id="2"/>
      <w:r w:rsidRPr="008C1FE3">
        <w:rPr>
          <w:bCs/>
          <w:noProof w:val="0"/>
          <w:sz w:val="24"/>
          <w:lang w:val="en-GB"/>
        </w:rPr>
        <w:t xml:space="preserve">SG-RAN </w:t>
      </w:r>
      <w:r w:rsidRPr="008C1FE3">
        <w:rPr>
          <w:noProof w:val="0"/>
          <w:sz w:val="24"/>
          <w:lang w:val="en-GB"/>
        </w:rPr>
        <w:t>WG1</w:t>
      </w:r>
      <w:r>
        <w:rPr>
          <w:noProof w:val="0"/>
          <w:sz w:val="24"/>
          <w:lang w:val="en-GB"/>
        </w:rPr>
        <w:t>#NR</w:t>
      </w:r>
      <w:r w:rsidRPr="008C1FE3">
        <w:rPr>
          <w:bCs/>
          <w:noProof w:val="0"/>
          <w:sz w:val="24"/>
          <w:lang w:val="en-GB"/>
        </w:rPr>
        <w:tab/>
      </w:r>
      <w:r w:rsidRPr="000C6964">
        <w:rPr>
          <w:rFonts w:hint="eastAsia"/>
          <w:bCs/>
          <w:noProof w:val="0"/>
          <w:sz w:val="24"/>
          <w:lang w:val="en-GB" w:eastAsia="ja-JP"/>
        </w:rPr>
        <w:t>R</w:t>
      </w:r>
      <w:r w:rsidRPr="000C6964">
        <w:rPr>
          <w:bCs/>
          <w:noProof w:val="0"/>
          <w:sz w:val="24"/>
          <w:lang w:val="en-GB" w:eastAsia="ja-JP"/>
        </w:rPr>
        <w:t>1</w:t>
      </w:r>
      <w:r w:rsidRPr="000C6964">
        <w:rPr>
          <w:rFonts w:hint="eastAsia"/>
          <w:bCs/>
          <w:noProof w:val="0"/>
          <w:sz w:val="24"/>
          <w:lang w:val="en-GB" w:eastAsia="ja-JP"/>
        </w:rPr>
        <w:t>-</w:t>
      </w:r>
      <w:r w:rsidR="00D0152A">
        <w:rPr>
          <w:bCs/>
          <w:noProof w:val="0"/>
          <w:sz w:val="24"/>
          <w:lang w:val="en-GB" w:eastAsia="zh-CN"/>
        </w:rPr>
        <w:t>1701055</w:t>
      </w:r>
    </w:p>
    <w:p w:rsidR="00D451FA" w:rsidRPr="00461210" w:rsidRDefault="00D451FA" w:rsidP="00D451FA">
      <w:pPr>
        <w:pStyle w:val="Header"/>
        <w:tabs>
          <w:tab w:val="right" w:pos="9639"/>
        </w:tabs>
        <w:rPr>
          <w:bCs/>
          <w:noProof w:val="0"/>
          <w:sz w:val="24"/>
          <w:lang w:val="en-GB"/>
        </w:rPr>
      </w:pPr>
      <w:r>
        <w:rPr>
          <w:noProof w:val="0"/>
          <w:sz w:val="24"/>
          <w:lang w:val="en-GB"/>
        </w:rPr>
        <w:t>Spokane, U.S.A., January</w:t>
      </w:r>
      <w:r>
        <w:rPr>
          <w:bCs/>
          <w:sz w:val="24"/>
          <w:lang w:eastAsia="zh-CN"/>
        </w:rPr>
        <w:t xml:space="preserve"> 16-20, </w:t>
      </w:r>
      <w:r w:rsidRPr="00235B77">
        <w:rPr>
          <w:bCs/>
          <w:sz w:val="24"/>
          <w:lang w:eastAsia="zh-CN"/>
        </w:rPr>
        <w:t>201</w:t>
      </w:r>
      <w:r>
        <w:rPr>
          <w:bCs/>
          <w:sz w:val="24"/>
          <w:lang w:eastAsia="zh-CN"/>
        </w:rPr>
        <w:t>7</w:t>
      </w:r>
    </w:p>
    <w:bookmarkEnd w:id="0"/>
    <w:bookmarkEnd w:id="1"/>
    <w:p w:rsidR="00D451FA" w:rsidRPr="007B7496" w:rsidRDefault="00D451FA" w:rsidP="00D451FA">
      <w:pPr>
        <w:pStyle w:val="Header"/>
        <w:rPr>
          <w:bCs/>
          <w:noProof w:val="0"/>
          <w:sz w:val="24"/>
          <w:lang w:val="en-GB" w:eastAsia="ja-JP"/>
        </w:rPr>
      </w:pPr>
    </w:p>
    <w:p w:rsidR="00D451FA" w:rsidRPr="007B7496" w:rsidRDefault="00963AAF" w:rsidP="00D451FA">
      <w:pPr>
        <w:pStyle w:val="CRCoverPage"/>
        <w:rPr>
          <w:rFonts w:cs="Arial"/>
          <w:b/>
          <w:bCs/>
          <w:sz w:val="24"/>
          <w:lang w:eastAsia="ja-JP"/>
        </w:rPr>
      </w:pPr>
      <w:r>
        <w:rPr>
          <w:rFonts w:cs="Arial"/>
          <w:b/>
          <w:bCs/>
          <w:sz w:val="24"/>
        </w:rPr>
        <w:t>Agenda item:</w:t>
      </w:r>
      <w:r>
        <w:rPr>
          <w:rFonts w:cs="Arial"/>
          <w:b/>
          <w:bCs/>
          <w:sz w:val="24"/>
        </w:rPr>
        <w:tab/>
      </w:r>
      <w:r>
        <w:rPr>
          <w:rFonts w:cs="Arial"/>
          <w:b/>
          <w:bCs/>
          <w:sz w:val="24"/>
        </w:rPr>
        <w:tab/>
        <w:t>5.1.9</w:t>
      </w:r>
    </w:p>
    <w:p w:rsidR="00D451FA" w:rsidRPr="00F174DB" w:rsidRDefault="00D451FA" w:rsidP="00D451FA">
      <w:pPr>
        <w:tabs>
          <w:tab w:val="left" w:pos="1985"/>
        </w:tabs>
        <w:ind w:left="1985" w:hanging="1985"/>
        <w:rPr>
          <w:rFonts w:ascii="Arial" w:hAnsi="Arial" w:cs="Arial"/>
          <w:b/>
          <w:bCs/>
          <w:sz w:val="24"/>
        </w:rPr>
      </w:pPr>
      <w:r w:rsidRPr="007B7496">
        <w:rPr>
          <w:rFonts w:ascii="Arial" w:hAnsi="Arial" w:cs="Arial"/>
          <w:b/>
          <w:bCs/>
          <w:sz w:val="24"/>
        </w:rPr>
        <w:t>Source:</w:t>
      </w:r>
      <w:r w:rsidRPr="007B7496">
        <w:rPr>
          <w:rFonts w:ascii="Arial" w:hAnsi="Arial" w:cs="Arial"/>
          <w:b/>
          <w:bCs/>
          <w:sz w:val="24"/>
        </w:rPr>
        <w:tab/>
      </w:r>
      <w:bookmarkStart w:id="3" w:name="OLE_LINK1"/>
      <w:bookmarkStart w:id="4" w:name="OLE_LINK2"/>
      <w:r w:rsidRPr="00F174DB">
        <w:rPr>
          <w:rFonts w:ascii="Arial" w:hAnsi="Arial" w:cs="Arial"/>
          <w:b/>
          <w:bCs/>
          <w:sz w:val="24"/>
        </w:rPr>
        <w:t>N</w:t>
      </w:r>
      <w:r>
        <w:rPr>
          <w:rFonts w:ascii="Arial" w:hAnsi="Arial" w:cs="Arial"/>
          <w:b/>
          <w:bCs/>
          <w:sz w:val="24"/>
        </w:rPr>
        <w:t>okia</w:t>
      </w:r>
      <w:bookmarkEnd w:id="3"/>
      <w:bookmarkEnd w:id="4"/>
      <w:r>
        <w:rPr>
          <w:rFonts w:ascii="Arial" w:hAnsi="Arial" w:cs="Arial"/>
          <w:b/>
          <w:bCs/>
          <w:sz w:val="24"/>
        </w:rPr>
        <w:t xml:space="preserve">, Alcatel-Lucent Shanghai Bell </w:t>
      </w:r>
    </w:p>
    <w:p w:rsidR="00D451FA" w:rsidRPr="00F174DB" w:rsidRDefault="00D451FA" w:rsidP="00D451FA">
      <w:pPr>
        <w:ind w:left="1985" w:hanging="1985"/>
        <w:rPr>
          <w:rFonts w:ascii="Arial" w:hAnsi="Arial" w:cs="Arial"/>
          <w:b/>
          <w:bCs/>
          <w:sz w:val="24"/>
        </w:rPr>
      </w:pPr>
      <w:r w:rsidRPr="00F174DB">
        <w:rPr>
          <w:rFonts w:ascii="Arial" w:hAnsi="Arial" w:cs="Arial"/>
          <w:b/>
          <w:bCs/>
          <w:sz w:val="24"/>
        </w:rPr>
        <w:t>Title:</w:t>
      </w:r>
      <w:r w:rsidRPr="00F174DB">
        <w:rPr>
          <w:rFonts w:ascii="Arial" w:hAnsi="Arial" w:cs="Arial"/>
          <w:b/>
          <w:bCs/>
          <w:sz w:val="24"/>
        </w:rPr>
        <w:tab/>
      </w:r>
      <w:r>
        <w:rPr>
          <w:rFonts w:ascii="Arial" w:hAnsi="Arial" w:cs="Arial"/>
          <w:b/>
          <w:bCs/>
          <w:sz w:val="24"/>
        </w:rPr>
        <w:t xml:space="preserve">On </w:t>
      </w:r>
      <w:r w:rsidR="006E57F7">
        <w:rPr>
          <w:rFonts w:ascii="Arial" w:hAnsi="Arial" w:cs="Arial"/>
          <w:b/>
          <w:bCs/>
          <w:sz w:val="24"/>
        </w:rPr>
        <w:t>LTE and NR coexistence o</w:t>
      </w:r>
      <w:r w:rsidR="00963AAF">
        <w:rPr>
          <w:rFonts w:ascii="Arial" w:hAnsi="Arial" w:cs="Arial"/>
          <w:b/>
          <w:bCs/>
          <w:sz w:val="24"/>
        </w:rPr>
        <w:t>n the same frequency</w:t>
      </w:r>
    </w:p>
    <w:p w:rsidR="00D451FA" w:rsidRPr="007B7496" w:rsidRDefault="00D451FA" w:rsidP="00D451FA">
      <w:pPr>
        <w:rPr>
          <w:rFonts w:ascii="Arial" w:hAnsi="Arial" w:cs="Arial"/>
          <w:b/>
          <w:bCs/>
          <w:sz w:val="24"/>
        </w:rPr>
      </w:pPr>
      <w:r>
        <w:rPr>
          <w:rFonts w:ascii="Arial" w:hAnsi="Arial" w:cs="Arial"/>
          <w:b/>
          <w:bCs/>
          <w:sz w:val="24"/>
        </w:rPr>
        <w:t>Document for:</w:t>
      </w:r>
      <w:r>
        <w:rPr>
          <w:rFonts w:ascii="Arial" w:hAnsi="Arial" w:cs="Arial"/>
          <w:b/>
          <w:bCs/>
          <w:sz w:val="24"/>
        </w:rPr>
        <w:tab/>
      </w:r>
      <w:r>
        <w:rPr>
          <w:rFonts w:ascii="Arial" w:hAnsi="Arial" w:cs="Arial"/>
          <w:b/>
          <w:bCs/>
          <w:sz w:val="24"/>
        </w:rPr>
        <w:tab/>
        <w:t>Discussion and Decision</w:t>
      </w:r>
    </w:p>
    <w:p w:rsidR="00D451FA" w:rsidRDefault="00D451FA" w:rsidP="00CA26CE">
      <w:pPr>
        <w:pStyle w:val="Header"/>
        <w:rPr>
          <w:bCs/>
          <w:noProof w:val="0"/>
          <w:sz w:val="24"/>
          <w:lang w:val="en-GB"/>
        </w:rPr>
      </w:pPr>
    </w:p>
    <w:p w:rsidR="0034111C" w:rsidRPr="0016316A" w:rsidRDefault="0034111C">
      <w:pPr>
        <w:pStyle w:val="Heading1"/>
      </w:pPr>
      <w:r w:rsidRPr="0016316A">
        <w:t>1</w:t>
      </w:r>
      <w:r w:rsidRPr="0016316A">
        <w:tab/>
      </w:r>
      <w:r w:rsidR="00EE7FA7" w:rsidRPr="0016316A">
        <w:t>Introduction</w:t>
      </w:r>
    </w:p>
    <w:p w:rsidR="00341E60" w:rsidRDefault="002256D9" w:rsidP="00513839">
      <w:pPr>
        <w:spacing w:after="120"/>
        <w:jc w:val="both"/>
        <w:rPr>
          <w:bCs/>
        </w:rPr>
      </w:pPr>
      <w:r w:rsidRPr="0016316A">
        <w:rPr>
          <w:bCs/>
        </w:rPr>
        <w:t xml:space="preserve">An objective of </w:t>
      </w:r>
      <w:r w:rsidR="00D060FF">
        <w:rPr>
          <w:bCs/>
        </w:rPr>
        <w:t>the 5G study item</w:t>
      </w:r>
      <w:r w:rsidR="002E563B">
        <w:rPr>
          <w:bCs/>
        </w:rPr>
        <w:t xml:space="preserve"> [1]</w:t>
      </w:r>
      <w:r w:rsidR="00D060FF">
        <w:rPr>
          <w:bCs/>
        </w:rPr>
        <w:t xml:space="preserve"> i</w:t>
      </w:r>
      <w:r w:rsidR="00F75330">
        <w:rPr>
          <w:bCs/>
        </w:rPr>
        <w:t>s</w:t>
      </w:r>
      <w:r w:rsidR="00D060FF">
        <w:rPr>
          <w:bCs/>
        </w:rPr>
        <w:t xml:space="preserve"> to identify and develop technology components needed for new radio (NR) systems being able to use any spectrum band ranging at least up to 100 GHz. </w:t>
      </w:r>
      <w:r w:rsidR="002E563B">
        <w:rPr>
          <w:bCs/>
        </w:rPr>
        <w:t>The goal is to achieve a single technical framework addressing all usage scenarios, requirements and deployment s</w:t>
      </w:r>
      <w:r w:rsidR="00963AAF">
        <w:rPr>
          <w:bCs/>
        </w:rPr>
        <w:t>cenarios defined in TR38.913 [1]</w:t>
      </w:r>
      <w:r w:rsidR="002E563B">
        <w:rPr>
          <w:bCs/>
        </w:rPr>
        <w:t xml:space="preserve">. </w:t>
      </w:r>
      <w:r w:rsidR="00963AAF">
        <w:rPr>
          <w:bCs/>
        </w:rPr>
        <w:t>One requirement captured in the TR section 10.4.1 is the 5G NR coexistence with LTE (below).</w:t>
      </w:r>
    </w:p>
    <w:p w:rsidR="00963AAF" w:rsidRDefault="00963AAF" w:rsidP="00513839">
      <w:pPr>
        <w:spacing w:after="120"/>
        <w:jc w:val="both"/>
        <w:rPr>
          <w:bCs/>
        </w:rPr>
      </w:pPr>
    </w:p>
    <w:p w:rsidR="00963AAF" w:rsidRPr="00963AAF" w:rsidRDefault="00963AAF" w:rsidP="00963AAF">
      <w:pPr>
        <w:autoSpaceDE/>
        <w:autoSpaceDN/>
        <w:adjustRightInd/>
        <w:spacing w:before="120"/>
        <w:ind w:left="284"/>
        <w:rPr>
          <w:rFonts w:eastAsia="Times New Roman"/>
          <w:szCs w:val="24"/>
          <w:lang w:val="en-US" w:eastAsia="fi-FI"/>
        </w:rPr>
      </w:pPr>
      <w:r w:rsidRPr="00963AAF">
        <w:rPr>
          <w:rFonts w:ascii="Arial" w:eastAsia="Times New Roman" w:hAnsi="Arial"/>
          <w:b/>
          <w:bCs/>
          <w:color w:val="44546A" w:themeColor="text2"/>
          <w:kern w:val="24"/>
          <w:sz w:val="32"/>
          <w:szCs w:val="40"/>
          <w:lang w:eastAsia="fi-FI"/>
        </w:rPr>
        <w:t>10.4.</w:t>
      </w:r>
      <w:r w:rsidRPr="00963AAF">
        <w:rPr>
          <w:rFonts w:ascii="Arial" w:hAnsi="Arial"/>
          <w:b/>
          <w:bCs/>
          <w:color w:val="44546A" w:themeColor="text2"/>
          <w:kern w:val="24"/>
          <w:sz w:val="32"/>
          <w:szCs w:val="40"/>
          <w:lang w:eastAsia="fi-FI"/>
        </w:rPr>
        <w:t>1</w:t>
      </w:r>
      <w:r w:rsidRPr="00963AAF">
        <w:rPr>
          <w:rFonts w:ascii="Arial" w:hAnsi="Arial"/>
          <w:b/>
          <w:bCs/>
          <w:color w:val="44546A" w:themeColor="text2"/>
          <w:kern w:val="24"/>
          <w:sz w:val="32"/>
          <w:szCs w:val="40"/>
          <w:lang w:eastAsia="fi-FI"/>
        </w:rPr>
        <w:tab/>
      </w:r>
      <w:r w:rsidRPr="00963AAF">
        <w:rPr>
          <w:rFonts w:ascii="Arial" w:eastAsia="Times New Roman" w:hAnsi="Arial"/>
          <w:b/>
          <w:bCs/>
          <w:color w:val="44546A" w:themeColor="text2"/>
          <w:kern w:val="24"/>
          <w:sz w:val="32"/>
          <w:szCs w:val="40"/>
          <w:lang w:eastAsia="fi-FI"/>
        </w:rPr>
        <w:t>Co-existence with LTE</w:t>
      </w:r>
      <w:r>
        <w:rPr>
          <w:rFonts w:ascii="Arial" w:eastAsia="Times New Roman" w:hAnsi="Arial"/>
          <w:b/>
          <w:bCs/>
          <w:color w:val="44546A" w:themeColor="text2"/>
          <w:kern w:val="24"/>
          <w:sz w:val="32"/>
          <w:szCs w:val="40"/>
          <w:lang w:eastAsia="fi-FI"/>
        </w:rPr>
        <w:t xml:space="preserve"> [1]</w:t>
      </w:r>
    </w:p>
    <w:p w:rsidR="00963AAF" w:rsidRPr="00963AAF" w:rsidRDefault="00963AAF" w:rsidP="00963AAF">
      <w:pPr>
        <w:autoSpaceDE/>
        <w:autoSpaceDN/>
        <w:adjustRightInd/>
        <w:ind w:left="284"/>
        <w:rPr>
          <w:rFonts w:eastAsia="Times New Roman"/>
          <w:szCs w:val="24"/>
          <w:lang w:val="en-US" w:eastAsia="fi-FI"/>
        </w:rPr>
      </w:pPr>
      <w:r w:rsidRPr="00963AAF">
        <w:rPr>
          <w:rFonts w:eastAsia="Times New Roman" w:cs="ヒラギノ角ゴ Pro W3"/>
          <w:b/>
          <w:bCs/>
          <w:color w:val="44546A" w:themeColor="text2"/>
          <w:kern w:val="24"/>
          <w:szCs w:val="24"/>
          <w:lang w:eastAsia="fi-FI"/>
        </w:rPr>
        <w:t>The New RAT should be able to support flexible allocation of resources (e.g. time, frequency) between the new RAT and LTE operating in the same block of spectrum (with possible bandwidths overlap</w:t>
      </w:r>
      <w:r w:rsidRPr="00963AAF">
        <w:rPr>
          <w:rFonts w:eastAsia="Times New Roman" w:cs="ヒラギノ角ゴ Pro W3"/>
          <w:color w:val="44546A" w:themeColor="text2"/>
          <w:kern w:val="24"/>
          <w:szCs w:val="24"/>
          <w:lang w:eastAsia="fi-FI"/>
        </w:rPr>
        <w:t xml:space="preserve">). Resource allocation granularity in the time/frequency domain, as well as the potential guards between NR and LTE resources are to be determined by the study on the new RAT. The New RAT should be able to use these resources at least for downlink, uplink and sidelink. </w:t>
      </w:r>
      <w:bookmarkStart w:id="5" w:name="_GoBack"/>
      <w:r w:rsidRPr="001E1417">
        <w:rPr>
          <w:rFonts w:eastAsia="Times New Roman" w:cs="ヒラギノ角ゴ Pro W3"/>
          <w:b/>
          <w:color w:val="44546A" w:themeColor="text2"/>
          <w:kern w:val="24"/>
          <w:szCs w:val="24"/>
          <w:lang w:eastAsia="fi-FI"/>
        </w:rPr>
        <w:t>The solution should work whether LTE is supported by the same base station as the New RAT or the two RATs are supported by different base stations.</w:t>
      </w:r>
      <w:r w:rsidRPr="00963AAF">
        <w:rPr>
          <w:rFonts w:eastAsia="Times New Roman" w:cs="ヒラギノ角ゴ Pro W3"/>
          <w:color w:val="44546A" w:themeColor="text2"/>
          <w:kern w:val="24"/>
          <w:szCs w:val="24"/>
          <w:lang w:eastAsia="fi-FI"/>
        </w:rPr>
        <w:t xml:space="preserve"> </w:t>
      </w:r>
      <w:bookmarkEnd w:id="5"/>
      <w:r w:rsidRPr="00963AAF">
        <w:rPr>
          <w:rFonts w:eastAsia="Times New Roman" w:cs="ヒラギノ角ゴ Pro W3"/>
          <w:b/>
          <w:bCs/>
          <w:color w:val="44546A" w:themeColor="text2"/>
          <w:kern w:val="24"/>
          <w:szCs w:val="24"/>
          <w:lang w:eastAsia="fi-FI"/>
        </w:rPr>
        <w:t>The solution should not affect backward compatibility with legacy LTE terminals</w:t>
      </w:r>
      <w:r w:rsidRPr="00963AAF">
        <w:rPr>
          <w:rFonts w:eastAsia="Times New Roman" w:cs="ヒラギノ角ゴ Pro W3"/>
          <w:color w:val="44546A" w:themeColor="text2"/>
          <w:kern w:val="24"/>
          <w:szCs w:val="24"/>
          <w:lang w:eastAsia="fi-FI"/>
        </w:rPr>
        <w:t>. These requirements are applicable for LTE Rel-8 and onwards, including NB-IoT.</w:t>
      </w:r>
    </w:p>
    <w:p w:rsidR="00963AAF" w:rsidRPr="00963AAF" w:rsidRDefault="00963AAF" w:rsidP="00963AAF">
      <w:pPr>
        <w:autoSpaceDE/>
        <w:autoSpaceDN/>
        <w:adjustRightInd/>
        <w:ind w:left="284"/>
        <w:rPr>
          <w:rFonts w:eastAsia="Times New Roman"/>
          <w:szCs w:val="24"/>
          <w:lang w:val="en-US" w:eastAsia="fi-FI"/>
        </w:rPr>
      </w:pPr>
      <w:r w:rsidRPr="00963AAF">
        <w:rPr>
          <w:rFonts w:eastAsia="Times New Roman" w:cs="ヒラギノ角ゴ Pro W3"/>
          <w:color w:val="44546A" w:themeColor="text2"/>
          <w:kern w:val="24"/>
          <w:szCs w:val="24"/>
          <w:lang w:eastAsia="fi-FI"/>
        </w:rPr>
        <w:t>This flexible allocation of resources should enable a progressive downsize of operators assigned bandwidth used by LTE, and the corresponding increase in the bandwidth used by NR.</w:t>
      </w:r>
    </w:p>
    <w:p w:rsidR="00963AAF" w:rsidRPr="00963AAF" w:rsidRDefault="00963AAF" w:rsidP="00963AAF">
      <w:pPr>
        <w:autoSpaceDE/>
        <w:autoSpaceDN/>
        <w:adjustRightInd/>
        <w:ind w:left="284"/>
        <w:rPr>
          <w:rFonts w:eastAsia="Times New Roman"/>
          <w:szCs w:val="24"/>
          <w:lang w:val="en-US" w:eastAsia="fi-FI"/>
        </w:rPr>
      </w:pPr>
      <w:r w:rsidRPr="00963AAF">
        <w:rPr>
          <w:rFonts w:eastAsia="Times New Roman" w:cs="ヒラギノ角ゴ Pro W3"/>
          <w:color w:val="44546A" w:themeColor="text2"/>
          <w:kern w:val="24"/>
          <w:szCs w:val="24"/>
          <w:lang w:eastAsia="fi-FI"/>
        </w:rPr>
        <w:t>Note: this requirement may be supported with different levels of flexibility depending on the LTE capability/release.</w:t>
      </w:r>
    </w:p>
    <w:p w:rsidR="00963AAF" w:rsidRPr="00963AAF" w:rsidRDefault="00963AAF" w:rsidP="00963AAF">
      <w:pPr>
        <w:autoSpaceDE/>
        <w:autoSpaceDN/>
        <w:adjustRightInd/>
        <w:ind w:left="284"/>
        <w:rPr>
          <w:rFonts w:eastAsia="Times New Roman"/>
          <w:szCs w:val="24"/>
          <w:lang w:val="en-US" w:eastAsia="fi-FI"/>
        </w:rPr>
      </w:pPr>
      <w:r w:rsidRPr="00963AAF">
        <w:rPr>
          <w:rFonts w:eastAsia="Times New Roman" w:cs="ヒラギノ角ゴ Pro W3"/>
          <w:color w:val="44546A" w:themeColor="text2"/>
          <w:kern w:val="24"/>
          <w:szCs w:val="24"/>
          <w:lang w:eastAsia="fi-FI"/>
        </w:rPr>
        <w:t>The New RAT shall be able to co-exist with LTE on adjacent spectrum in the same band in the same geographical area, including collocated deployments of the same or different operators; where the ability to coexist is based upon an agreed maximum degradation of throughput that is found acceptable on LTE.</w:t>
      </w:r>
    </w:p>
    <w:p w:rsidR="00963AAF" w:rsidRPr="00963AAF" w:rsidRDefault="00963AAF" w:rsidP="00963AAF">
      <w:pPr>
        <w:autoSpaceDE/>
        <w:autoSpaceDN/>
        <w:adjustRightInd/>
        <w:ind w:left="284"/>
        <w:rPr>
          <w:rFonts w:eastAsia="Times New Roman"/>
          <w:szCs w:val="24"/>
          <w:lang w:val="en-US" w:eastAsia="fi-FI"/>
        </w:rPr>
      </w:pPr>
      <w:r w:rsidRPr="00963AAF">
        <w:rPr>
          <w:rFonts w:eastAsia="Times New Roman" w:cs="ヒラギノ角ゴ Pro W3"/>
          <w:color w:val="44546A" w:themeColor="text2"/>
          <w:kern w:val="24"/>
          <w:szCs w:val="24"/>
          <w:lang w:eastAsia="fi-FI"/>
        </w:rPr>
        <w:t xml:space="preserve">These requirements are applicable for </w:t>
      </w:r>
      <w:r w:rsidRPr="00963AAF">
        <w:rPr>
          <w:rFonts w:eastAsia="Malgun Gothic" w:cs="ヒラギノ角ゴ Pro W3"/>
          <w:color w:val="44546A" w:themeColor="text2"/>
          <w:kern w:val="24"/>
          <w:szCs w:val="24"/>
          <w:lang w:eastAsia="fi-FI"/>
        </w:rPr>
        <w:t>paired</w:t>
      </w:r>
      <w:r w:rsidRPr="00963AAF">
        <w:rPr>
          <w:rFonts w:eastAsia="Times New Roman" w:cs="ヒラギノ角ゴ Pro W3"/>
          <w:color w:val="44546A" w:themeColor="text2"/>
          <w:kern w:val="24"/>
          <w:szCs w:val="24"/>
          <w:lang w:eastAsia="fi-FI"/>
        </w:rPr>
        <w:t xml:space="preserve"> and </w:t>
      </w:r>
      <w:r w:rsidRPr="00963AAF">
        <w:rPr>
          <w:rFonts w:eastAsia="Malgun Gothic" w:cs="ヒラギノ角ゴ Pro W3"/>
          <w:color w:val="44546A" w:themeColor="text2"/>
          <w:kern w:val="24"/>
          <w:szCs w:val="24"/>
          <w:lang w:eastAsia="fi-FI"/>
        </w:rPr>
        <w:t>unpaired</w:t>
      </w:r>
      <w:r w:rsidRPr="00963AAF">
        <w:rPr>
          <w:rFonts w:eastAsia="Times New Roman" w:cs="ヒラギノ角ゴ Pro W3"/>
          <w:color w:val="44546A" w:themeColor="text2"/>
          <w:kern w:val="24"/>
          <w:szCs w:val="24"/>
          <w:lang w:eastAsia="fi-FI"/>
        </w:rPr>
        <w:t xml:space="preserve"> spectrum.</w:t>
      </w:r>
    </w:p>
    <w:p w:rsidR="00963AAF" w:rsidRPr="00963AAF" w:rsidRDefault="00963AAF" w:rsidP="00513839">
      <w:pPr>
        <w:spacing w:after="120"/>
        <w:jc w:val="both"/>
        <w:rPr>
          <w:bCs/>
          <w:lang w:val="en-US"/>
        </w:rPr>
      </w:pPr>
    </w:p>
    <w:p w:rsidR="00D451FA" w:rsidRDefault="00963AAF" w:rsidP="00D451FA">
      <w:pPr>
        <w:rPr>
          <w:rFonts w:eastAsia="MS Mincho"/>
          <w:lang w:val="en-US" w:eastAsia="ja-JP"/>
        </w:rPr>
      </w:pPr>
      <w:r>
        <w:rPr>
          <w:rFonts w:eastAsia="MS Mincho"/>
          <w:lang w:val="en-US" w:eastAsia="ja-JP"/>
        </w:rPr>
        <w:t>In RAN1#87, way forward document [2] was presented and discussed, and the following agreements were reached [3]:</w:t>
      </w:r>
    </w:p>
    <w:p w:rsidR="00963AAF" w:rsidRPr="00C22D63" w:rsidRDefault="00963AAF" w:rsidP="00963AAF">
      <w:pPr>
        <w:ind w:left="284"/>
        <w:rPr>
          <w:rFonts w:eastAsia="MS Mincho"/>
          <w:b/>
          <w:u w:val="single"/>
          <w:lang w:val="en-US" w:eastAsia="ja-JP"/>
        </w:rPr>
      </w:pPr>
      <w:r w:rsidRPr="000503C7">
        <w:rPr>
          <w:rFonts w:eastAsia="MS Mincho" w:hint="eastAsia"/>
          <w:b/>
          <w:highlight w:val="green"/>
          <w:u w:val="single"/>
          <w:lang w:val="en-US" w:eastAsia="ja-JP"/>
        </w:rPr>
        <w:t>Agreements:</w:t>
      </w:r>
    </w:p>
    <w:p w:rsidR="00963AAF" w:rsidRDefault="00963AAF" w:rsidP="00963AAF">
      <w:pPr>
        <w:numPr>
          <w:ilvl w:val="0"/>
          <w:numId w:val="15"/>
        </w:numPr>
        <w:overflowPunct/>
        <w:autoSpaceDE/>
        <w:autoSpaceDN/>
        <w:adjustRightInd/>
        <w:spacing w:after="0"/>
        <w:ind w:left="704"/>
        <w:textAlignment w:val="auto"/>
        <w:rPr>
          <w:rFonts w:eastAsia="MS Mincho"/>
          <w:lang w:val="en-US" w:eastAsia="ja-JP"/>
        </w:rPr>
      </w:pPr>
      <w:r>
        <w:rPr>
          <w:rFonts w:eastAsia="MS Mincho" w:hint="eastAsia"/>
          <w:lang w:val="en-US" w:eastAsia="ja-JP"/>
        </w:rPr>
        <w:t xml:space="preserve">For LTE and NR </w:t>
      </w:r>
      <w:r>
        <w:rPr>
          <w:rFonts w:eastAsia="MS Mincho"/>
          <w:lang w:val="en-US" w:eastAsia="ja-JP"/>
        </w:rPr>
        <w:t>coexistence</w:t>
      </w:r>
      <w:r>
        <w:rPr>
          <w:rFonts w:eastAsia="MS Mincho" w:hint="eastAsia"/>
          <w:lang w:val="en-US" w:eastAsia="ja-JP"/>
        </w:rPr>
        <w:t xml:space="preserve">, </w:t>
      </w:r>
    </w:p>
    <w:p w:rsidR="00963AAF" w:rsidRDefault="00963AAF" w:rsidP="00963AAF">
      <w:pPr>
        <w:numPr>
          <w:ilvl w:val="1"/>
          <w:numId w:val="15"/>
        </w:numPr>
        <w:overflowPunct/>
        <w:autoSpaceDE/>
        <w:autoSpaceDN/>
        <w:adjustRightInd/>
        <w:spacing w:after="0"/>
        <w:ind w:left="1124"/>
        <w:textAlignment w:val="auto"/>
        <w:rPr>
          <w:rFonts w:eastAsia="MS Mincho"/>
          <w:lang w:val="en-US" w:eastAsia="ja-JP"/>
        </w:rPr>
      </w:pPr>
      <w:r w:rsidRPr="00970A18">
        <w:rPr>
          <w:rFonts w:eastAsia="MS Mincho"/>
          <w:lang w:val="en-US" w:eastAsia="ja-JP"/>
        </w:rPr>
        <w:t xml:space="preserve">In NR design, consider support of flexible starting point and duration of scheduled resources as a tool to avoid for example the control region of MBSFN subframes and be able to use resources in the unused </w:t>
      </w:r>
      <w:r>
        <w:rPr>
          <w:rFonts w:eastAsia="MS Mincho" w:hint="eastAsia"/>
          <w:lang w:val="en-US" w:eastAsia="ja-JP"/>
        </w:rPr>
        <w:t xml:space="preserve">MBSFN </w:t>
      </w:r>
      <w:r w:rsidRPr="00970A18">
        <w:rPr>
          <w:rFonts w:eastAsia="MS Mincho"/>
          <w:lang w:val="en-US" w:eastAsia="ja-JP"/>
        </w:rPr>
        <w:t>subframes of an LTE carrier</w:t>
      </w:r>
    </w:p>
    <w:p w:rsidR="00963AAF" w:rsidRDefault="00963AAF" w:rsidP="00963AAF">
      <w:pPr>
        <w:numPr>
          <w:ilvl w:val="2"/>
          <w:numId w:val="15"/>
        </w:numPr>
        <w:overflowPunct/>
        <w:autoSpaceDE/>
        <w:autoSpaceDN/>
        <w:adjustRightInd/>
        <w:spacing w:after="0"/>
        <w:ind w:left="1544"/>
        <w:textAlignment w:val="auto"/>
        <w:rPr>
          <w:rFonts w:eastAsia="MS Mincho"/>
          <w:lang w:val="en-US" w:eastAsia="ja-JP"/>
        </w:rPr>
      </w:pPr>
      <w:r w:rsidRPr="00970A18">
        <w:rPr>
          <w:rFonts w:eastAsia="MS Mincho"/>
          <w:lang w:val="en-US" w:eastAsia="ja-JP"/>
        </w:rPr>
        <w:t>Note: those mechanisms may be reused from forward compatibility mechanisms</w:t>
      </w:r>
    </w:p>
    <w:p w:rsidR="00963AAF" w:rsidRDefault="00963AAF" w:rsidP="00963AAF">
      <w:pPr>
        <w:numPr>
          <w:ilvl w:val="2"/>
          <w:numId w:val="15"/>
        </w:numPr>
        <w:overflowPunct/>
        <w:autoSpaceDE/>
        <w:autoSpaceDN/>
        <w:adjustRightInd/>
        <w:spacing w:after="0"/>
        <w:ind w:left="1544"/>
        <w:textAlignment w:val="auto"/>
        <w:rPr>
          <w:rFonts w:eastAsia="MS Mincho"/>
          <w:lang w:val="en-US" w:eastAsia="ja-JP"/>
        </w:rPr>
      </w:pPr>
      <w:r>
        <w:rPr>
          <w:rFonts w:eastAsia="MS Mincho" w:hint="eastAsia"/>
          <w:lang w:val="en-US" w:eastAsia="ja-JP"/>
        </w:rPr>
        <w:t xml:space="preserve">FFS: use of </w:t>
      </w:r>
      <w:r w:rsidRPr="00970A18">
        <w:rPr>
          <w:rFonts w:eastAsia="MS Mincho" w:hint="eastAsia"/>
          <w:lang w:val="en-US" w:eastAsia="ja-JP"/>
        </w:rPr>
        <w:t>mini-slot</w:t>
      </w:r>
    </w:p>
    <w:p w:rsidR="00963AAF" w:rsidRPr="00970A18" w:rsidRDefault="00963AAF" w:rsidP="00963AAF">
      <w:pPr>
        <w:numPr>
          <w:ilvl w:val="2"/>
          <w:numId w:val="15"/>
        </w:numPr>
        <w:overflowPunct/>
        <w:autoSpaceDE/>
        <w:autoSpaceDN/>
        <w:adjustRightInd/>
        <w:spacing w:after="0"/>
        <w:ind w:left="1544"/>
        <w:textAlignment w:val="auto"/>
        <w:rPr>
          <w:rFonts w:eastAsia="MS Mincho"/>
          <w:lang w:val="en-US" w:eastAsia="ja-JP"/>
        </w:rPr>
      </w:pPr>
      <w:r w:rsidRPr="00970A18">
        <w:rPr>
          <w:rFonts w:eastAsia="MS Mincho" w:hint="eastAsia"/>
          <w:lang w:val="en-US" w:eastAsia="ja-JP"/>
        </w:rPr>
        <w:t>FFS: Dynamic</w:t>
      </w:r>
      <w:r>
        <w:rPr>
          <w:rFonts w:eastAsia="MS Mincho" w:hint="eastAsia"/>
          <w:lang w:val="en-US" w:eastAsia="ja-JP"/>
        </w:rPr>
        <w:t>ally</w:t>
      </w:r>
      <w:r w:rsidRPr="00970A18">
        <w:rPr>
          <w:rFonts w:eastAsia="MS Mincho" w:hint="eastAsia"/>
          <w:lang w:val="en-US" w:eastAsia="ja-JP"/>
        </w:rPr>
        <w:t xml:space="preserve"> or semi-s</w:t>
      </w:r>
      <w:r>
        <w:rPr>
          <w:rFonts w:eastAsia="MS Mincho" w:hint="eastAsia"/>
          <w:lang w:val="en-US" w:eastAsia="ja-JP"/>
        </w:rPr>
        <w:t>tatically varying starting point and duration</w:t>
      </w:r>
    </w:p>
    <w:p w:rsidR="00963AAF" w:rsidRDefault="00963AAF" w:rsidP="00963AAF">
      <w:pPr>
        <w:numPr>
          <w:ilvl w:val="1"/>
          <w:numId w:val="15"/>
        </w:numPr>
        <w:overflowPunct/>
        <w:autoSpaceDE/>
        <w:autoSpaceDN/>
        <w:adjustRightInd/>
        <w:spacing w:after="0"/>
        <w:ind w:left="1124"/>
        <w:textAlignment w:val="auto"/>
        <w:rPr>
          <w:rFonts w:eastAsia="MS Mincho"/>
          <w:lang w:val="en-US" w:eastAsia="ja-JP"/>
        </w:rPr>
      </w:pPr>
      <w:r>
        <w:rPr>
          <w:rFonts w:eastAsia="MS Mincho" w:hint="eastAsia"/>
          <w:lang w:val="en-US" w:eastAsia="ja-JP"/>
        </w:rPr>
        <w:t xml:space="preserve">NR design supports adapting the </w:t>
      </w:r>
      <w:r>
        <w:rPr>
          <w:rFonts w:eastAsia="MS Mincho"/>
          <w:lang w:val="en-US" w:eastAsia="ja-JP"/>
        </w:rPr>
        <w:t>bandwidth</w:t>
      </w:r>
      <w:r>
        <w:rPr>
          <w:rFonts w:eastAsia="MS Mincho" w:hint="eastAsia"/>
          <w:lang w:val="en-US" w:eastAsia="ja-JP"/>
        </w:rPr>
        <w:t xml:space="preserve"> occupied by NR carrier(s) at least as fast as LTE carrier aggregation schemes</w:t>
      </w:r>
    </w:p>
    <w:p w:rsidR="00963AAF" w:rsidRDefault="00963AAF" w:rsidP="00963AAF">
      <w:pPr>
        <w:numPr>
          <w:ilvl w:val="2"/>
          <w:numId w:val="15"/>
        </w:numPr>
        <w:overflowPunct/>
        <w:autoSpaceDE/>
        <w:autoSpaceDN/>
        <w:adjustRightInd/>
        <w:spacing w:after="0"/>
        <w:ind w:left="1544"/>
        <w:textAlignment w:val="auto"/>
        <w:rPr>
          <w:rFonts w:eastAsia="MS Mincho"/>
          <w:lang w:val="en-US" w:eastAsia="ja-JP"/>
        </w:rPr>
      </w:pPr>
      <w:r>
        <w:rPr>
          <w:rFonts w:eastAsia="MS Mincho" w:hint="eastAsia"/>
          <w:lang w:val="en-US" w:eastAsia="ja-JP"/>
        </w:rPr>
        <w:t>FFS: Detailed design</w:t>
      </w:r>
    </w:p>
    <w:p w:rsidR="00963AAF" w:rsidRPr="00C22D63" w:rsidRDefault="00963AAF" w:rsidP="00963AAF">
      <w:pPr>
        <w:numPr>
          <w:ilvl w:val="1"/>
          <w:numId w:val="15"/>
        </w:numPr>
        <w:overflowPunct/>
        <w:autoSpaceDE/>
        <w:autoSpaceDN/>
        <w:adjustRightInd/>
        <w:spacing w:after="0"/>
        <w:ind w:left="1124"/>
        <w:textAlignment w:val="auto"/>
        <w:rPr>
          <w:rFonts w:eastAsia="MS Mincho"/>
          <w:lang w:val="en-US" w:eastAsia="ja-JP"/>
        </w:rPr>
      </w:pPr>
      <w:r>
        <w:rPr>
          <w:rFonts w:eastAsia="MS Mincho" w:hint="eastAsia"/>
          <w:lang w:val="en-US" w:eastAsia="ja-JP"/>
        </w:rPr>
        <w:t>FFS: A</w:t>
      </w:r>
      <w:r w:rsidRPr="00C22D63">
        <w:rPr>
          <w:rFonts w:eastAsia="MS Mincho"/>
          <w:lang w:val="en-US" w:eastAsia="ja-JP"/>
        </w:rPr>
        <w:t>llowing NR transmissions while avoiding OFDM symbols carrying</w:t>
      </w:r>
      <w:r>
        <w:rPr>
          <w:rFonts w:eastAsia="MS Mincho"/>
          <w:lang w:val="en-US" w:eastAsia="ja-JP"/>
        </w:rPr>
        <w:t xml:space="preserve"> CRS on a DL LTE </w:t>
      </w:r>
      <w:r>
        <w:rPr>
          <w:rFonts w:eastAsia="MS Mincho" w:hint="eastAsia"/>
          <w:lang w:val="en-US" w:eastAsia="ja-JP"/>
        </w:rPr>
        <w:t>subframe</w:t>
      </w:r>
    </w:p>
    <w:p w:rsidR="00963AAF" w:rsidRDefault="00963AAF" w:rsidP="00963AAF">
      <w:pPr>
        <w:numPr>
          <w:ilvl w:val="2"/>
          <w:numId w:val="15"/>
        </w:numPr>
        <w:overflowPunct/>
        <w:autoSpaceDE/>
        <w:autoSpaceDN/>
        <w:adjustRightInd/>
        <w:spacing w:after="0"/>
        <w:ind w:left="1544"/>
        <w:textAlignment w:val="auto"/>
        <w:rPr>
          <w:rFonts w:eastAsia="MS Mincho"/>
          <w:lang w:val="en-US" w:eastAsia="ja-JP"/>
        </w:rPr>
      </w:pPr>
      <w:r w:rsidRPr="00C22D63">
        <w:rPr>
          <w:rFonts w:eastAsia="MS Mincho"/>
          <w:lang w:val="en-US" w:eastAsia="ja-JP"/>
        </w:rPr>
        <w:t>Further discussion needed on how to handle sTTI transmissions of LTE</w:t>
      </w:r>
    </w:p>
    <w:p w:rsidR="00963AAF" w:rsidRDefault="00963AAF" w:rsidP="00963AAF">
      <w:pPr>
        <w:numPr>
          <w:ilvl w:val="2"/>
          <w:numId w:val="15"/>
        </w:numPr>
        <w:overflowPunct/>
        <w:autoSpaceDE/>
        <w:autoSpaceDN/>
        <w:adjustRightInd/>
        <w:spacing w:after="0"/>
        <w:ind w:left="1544"/>
        <w:textAlignment w:val="auto"/>
        <w:rPr>
          <w:rFonts w:eastAsia="MS Mincho"/>
          <w:lang w:val="en-US" w:eastAsia="ja-JP"/>
        </w:rPr>
      </w:pPr>
      <w:r w:rsidRPr="00C22D63">
        <w:rPr>
          <w:rFonts w:eastAsia="MS Mincho"/>
          <w:lang w:val="en-US" w:eastAsia="ja-JP"/>
        </w:rPr>
        <w:lastRenderedPageBreak/>
        <w:t>Note: those mechanisms may be reused from forward compatibility mechanisms</w:t>
      </w:r>
      <w:r>
        <w:rPr>
          <w:rFonts w:eastAsia="MS Mincho" w:hint="eastAsia"/>
          <w:lang w:val="en-US" w:eastAsia="ja-JP"/>
        </w:rPr>
        <w:t>, or mechanisms for multiplexing eMBB and URLLC on the DL, or mini-slot</w:t>
      </w:r>
    </w:p>
    <w:p w:rsidR="00963AAF" w:rsidRPr="00C22D63" w:rsidRDefault="00963AAF" w:rsidP="00963AAF">
      <w:pPr>
        <w:numPr>
          <w:ilvl w:val="1"/>
          <w:numId w:val="15"/>
        </w:numPr>
        <w:overflowPunct/>
        <w:autoSpaceDE/>
        <w:autoSpaceDN/>
        <w:adjustRightInd/>
        <w:spacing w:after="0"/>
        <w:ind w:left="1124"/>
        <w:textAlignment w:val="auto"/>
        <w:rPr>
          <w:rFonts w:eastAsia="MS Mincho"/>
          <w:lang w:val="en-US" w:eastAsia="ja-JP"/>
        </w:rPr>
      </w:pPr>
      <w:r w:rsidRPr="00C22D63">
        <w:rPr>
          <w:rFonts w:eastAsia="MS Mincho"/>
          <w:lang w:val="en-US" w:eastAsia="ja-JP"/>
        </w:rPr>
        <w:t>Allowing NR transmissions while avoiding O</w:t>
      </w:r>
      <w:r>
        <w:rPr>
          <w:rFonts w:eastAsia="MS Mincho"/>
          <w:lang w:val="en-US" w:eastAsia="ja-JP"/>
        </w:rPr>
        <w:t xml:space="preserve">FDM symbols carrying </w:t>
      </w:r>
      <w:r w:rsidRPr="00C22D63">
        <w:rPr>
          <w:rFonts w:eastAsia="MS Mincho"/>
          <w:lang w:val="en-US" w:eastAsia="ja-JP"/>
        </w:rPr>
        <w:t xml:space="preserve">SRS </w:t>
      </w:r>
      <w:r>
        <w:rPr>
          <w:rFonts w:eastAsia="MS Mincho"/>
          <w:lang w:val="en-US" w:eastAsia="ja-JP"/>
        </w:rPr>
        <w:t xml:space="preserve">on an UL LTE </w:t>
      </w:r>
      <w:r>
        <w:rPr>
          <w:rFonts w:eastAsia="MS Mincho" w:hint="eastAsia"/>
          <w:lang w:val="en-US" w:eastAsia="ja-JP"/>
        </w:rPr>
        <w:t>subframe</w:t>
      </w:r>
    </w:p>
    <w:p w:rsidR="00963AAF" w:rsidRPr="00383DD0" w:rsidRDefault="00963AAF" w:rsidP="00963AAF">
      <w:pPr>
        <w:numPr>
          <w:ilvl w:val="2"/>
          <w:numId w:val="15"/>
        </w:numPr>
        <w:overflowPunct/>
        <w:autoSpaceDE/>
        <w:autoSpaceDN/>
        <w:adjustRightInd/>
        <w:spacing w:after="0"/>
        <w:ind w:left="1544"/>
        <w:textAlignment w:val="auto"/>
        <w:rPr>
          <w:rFonts w:eastAsia="MS Mincho"/>
          <w:lang w:val="en-US" w:eastAsia="ja-JP"/>
        </w:rPr>
      </w:pPr>
      <w:r w:rsidRPr="00C22D63">
        <w:rPr>
          <w:rFonts w:eastAsia="MS Mincho"/>
          <w:lang w:val="en-US" w:eastAsia="ja-JP"/>
        </w:rPr>
        <w:t>Further discussion needed on how to handle sTTI transmissions of LTE</w:t>
      </w:r>
    </w:p>
    <w:p w:rsidR="00963AAF" w:rsidRPr="00C22D63" w:rsidRDefault="00963AAF" w:rsidP="00963AAF">
      <w:pPr>
        <w:numPr>
          <w:ilvl w:val="1"/>
          <w:numId w:val="15"/>
        </w:numPr>
        <w:overflowPunct/>
        <w:autoSpaceDE/>
        <w:autoSpaceDN/>
        <w:adjustRightInd/>
        <w:spacing w:after="0"/>
        <w:ind w:left="1124"/>
        <w:textAlignment w:val="auto"/>
        <w:rPr>
          <w:rFonts w:eastAsia="MS Mincho"/>
          <w:lang w:val="en-US" w:eastAsia="ja-JP"/>
        </w:rPr>
      </w:pPr>
      <w:r>
        <w:rPr>
          <w:rFonts w:eastAsia="MS Mincho" w:hint="eastAsia"/>
          <w:lang w:val="en-US" w:eastAsia="ja-JP"/>
        </w:rPr>
        <w:t xml:space="preserve">FFS: </w:t>
      </w:r>
      <w:r w:rsidRPr="00C22D63">
        <w:rPr>
          <w:rFonts w:eastAsia="MS Mincho"/>
          <w:lang w:val="en-US" w:eastAsia="ja-JP"/>
        </w:rPr>
        <w:t>PRB-level resource allocation</w:t>
      </w:r>
      <w:r>
        <w:rPr>
          <w:rFonts w:eastAsia="MS Mincho" w:hint="eastAsia"/>
          <w:lang w:val="en-US" w:eastAsia="ja-JP"/>
        </w:rPr>
        <w:t xml:space="preserve"> can be used</w:t>
      </w:r>
      <w:r w:rsidRPr="00C22D63">
        <w:rPr>
          <w:rFonts w:eastAsia="MS Mincho"/>
          <w:lang w:val="en-US" w:eastAsia="ja-JP"/>
        </w:rPr>
        <w:t xml:space="preserve"> as a tool to avoid for example PSS/SSS, PBCH, EPDCCH, PUCCH, PRACH, as well as PRB-level scheduled LTE PDSCH and LTE PUSCH, of an LTE carrier</w:t>
      </w:r>
    </w:p>
    <w:p w:rsidR="00963AAF" w:rsidRPr="00C22D63" w:rsidRDefault="00963AAF" w:rsidP="00963AAF">
      <w:pPr>
        <w:numPr>
          <w:ilvl w:val="1"/>
          <w:numId w:val="15"/>
        </w:numPr>
        <w:overflowPunct/>
        <w:autoSpaceDE/>
        <w:autoSpaceDN/>
        <w:adjustRightInd/>
        <w:spacing w:after="0"/>
        <w:ind w:left="1124"/>
        <w:textAlignment w:val="auto"/>
        <w:rPr>
          <w:rFonts w:eastAsia="MS Mincho"/>
          <w:lang w:val="en-US" w:eastAsia="ja-JP"/>
        </w:rPr>
      </w:pPr>
      <w:r>
        <w:rPr>
          <w:rFonts w:eastAsia="MS Mincho" w:hint="eastAsia"/>
          <w:lang w:val="en-US" w:eastAsia="ja-JP"/>
        </w:rPr>
        <w:t xml:space="preserve">FFS: </w:t>
      </w:r>
      <w:r w:rsidRPr="00C22D63">
        <w:rPr>
          <w:rFonts w:eastAsia="MS Mincho"/>
          <w:lang w:val="en-US" w:eastAsia="ja-JP"/>
        </w:rPr>
        <w:t>Mapping NR signals and chann</w:t>
      </w:r>
      <w:r>
        <w:rPr>
          <w:rFonts w:eastAsia="MS Mincho"/>
          <w:lang w:val="en-US" w:eastAsia="ja-JP"/>
        </w:rPr>
        <w:t>els around the LTE CRS patterns</w:t>
      </w:r>
    </w:p>
    <w:p w:rsidR="00963AAF" w:rsidRPr="00236D89" w:rsidRDefault="00963AAF" w:rsidP="00963AAF">
      <w:pPr>
        <w:numPr>
          <w:ilvl w:val="1"/>
          <w:numId w:val="15"/>
        </w:numPr>
        <w:overflowPunct/>
        <w:autoSpaceDE/>
        <w:autoSpaceDN/>
        <w:adjustRightInd/>
        <w:spacing w:after="0"/>
        <w:ind w:left="1124"/>
        <w:textAlignment w:val="auto"/>
        <w:rPr>
          <w:rFonts w:eastAsia="MS Mincho"/>
          <w:lang w:val="en-US" w:eastAsia="ja-JP"/>
        </w:rPr>
      </w:pPr>
      <w:r w:rsidRPr="00C22D63">
        <w:rPr>
          <w:rFonts w:eastAsia="MS Mincho"/>
          <w:lang w:val="en-US" w:eastAsia="ja-JP"/>
        </w:rPr>
        <w:t>Note: those mechanisms may be reused from forward compatibility mechanisms</w:t>
      </w:r>
    </w:p>
    <w:p w:rsidR="00963AAF" w:rsidRPr="00A157EF" w:rsidRDefault="00963AAF" w:rsidP="00963AAF">
      <w:pPr>
        <w:numPr>
          <w:ilvl w:val="0"/>
          <w:numId w:val="16"/>
        </w:numPr>
        <w:tabs>
          <w:tab w:val="clear" w:pos="360"/>
          <w:tab w:val="num" w:pos="644"/>
        </w:tabs>
        <w:overflowPunct/>
        <w:autoSpaceDE/>
        <w:autoSpaceDN/>
        <w:adjustRightInd/>
        <w:spacing w:after="0"/>
        <w:ind w:left="644"/>
        <w:textAlignment w:val="auto"/>
        <w:rPr>
          <w:rFonts w:eastAsia="MS Mincho"/>
          <w:lang w:val="en-US" w:eastAsia="ja-JP"/>
        </w:rPr>
      </w:pPr>
      <w:r>
        <w:rPr>
          <w:rFonts w:eastAsia="MS Mincho" w:hint="eastAsia"/>
          <w:lang w:val="en-US" w:eastAsia="ja-JP"/>
        </w:rPr>
        <w:t xml:space="preserve">For adjacent channel/band operation of NR </w:t>
      </w:r>
      <w:r>
        <w:rPr>
          <w:rFonts w:eastAsia="MS Mincho"/>
          <w:lang w:val="en-US" w:eastAsia="ja-JP"/>
        </w:rPr>
        <w:t>and</w:t>
      </w:r>
      <w:r>
        <w:rPr>
          <w:rFonts w:eastAsia="MS Mincho" w:hint="eastAsia"/>
          <w:lang w:val="en-US" w:eastAsia="ja-JP"/>
        </w:rPr>
        <w:t xml:space="preserve"> LTE </w:t>
      </w:r>
      <w:r>
        <w:rPr>
          <w:rFonts w:eastAsia="MS Mincho"/>
          <w:lang w:val="en-US" w:eastAsia="ja-JP"/>
        </w:rPr>
        <w:t>in the unpaired spectrum</w:t>
      </w:r>
    </w:p>
    <w:p w:rsidR="00963AAF" w:rsidRDefault="00963AAF" w:rsidP="00963AAF">
      <w:pPr>
        <w:numPr>
          <w:ilvl w:val="1"/>
          <w:numId w:val="16"/>
        </w:numPr>
        <w:tabs>
          <w:tab w:val="clear" w:pos="1080"/>
          <w:tab w:val="num" w:pos="1364"/>
        </w:tabs>
        <w:overflowPunct/>
        <w:autoSpaceDE/>
        <w:autoSpaceDN/>
        <w:adjustRightInd/>
        <w:spacing w:after="0"/>
        <w:ind w:left="1364"/>
        <w:textAlignment w:val="auto"/>
        <w:rPr>
          <w:rFonts w:eastAsia="MS Mincho"/>
          <w:lang w:val="en-US" w:eastAsia="ja-JP"/>
        </w:rPr>
      </w:pPr>
      <w:r w:rsidRPr="00A157EF">
        <w:rPr>
          <w:rFonts w:eastAsia="MS Mincho"/>
          <w:lang w:val="en-US" w:eastAsia="ja-JP"/>
        </w:rPr>
        <w:t xml:space="preserve">Design at least one semi-statically assigned DL/UL transmission direction </w:t>
      </w:r>
      <w:r>
        <w:rPr>
          <w:rFonts w:eastAsia="MS Mincho" w:hint="eastAsia"/>
          <w:lang w:val="en-US" w:eastAsia="ja-JP"/>
        </w:rPr>
        <w:t xml:space="preserve">configuration </w:t>
      </w:r>
      <w:r w:rsidRPr="00A157EF">
        <w:rPr>
          <w:rFonts w:eastAsia="MS Mincho"/>
          <w:lang w:val="en-US" w:eastAsia="ja-JP"/>
        </w:rPr>
        <w:t xml:space="preserve">for NR that avoids DL/UL interference with at least one LTE </w:t>
      </w:r>
      <w:r>
        <w:rPr>
          <w:rFonts w:eastAsia="MS Mincho" w:hint="eastAsia"/>
          <w:lang w:val="en-US" w:eastAsia="ja-JP"/>
        </w:rPr>
        <w:t xml:space="preserve">TDD </w:t>
      </w:r>
      <w:r w:rsidRPr="00A157EF">
        <w:rPr>
          <w:rFonts w:eastAsia="MS Mincho"/>
          <w:lang w:val="en-US" w:eastAsia="ja-JP"/>
        </w:rPr>
        <w:t>DL/UL configuration</w:t>
      </w:r>
      <w:r>
        <w:rPr>
          <w:rFonts w:eastAsia="MS Mincho" w:hint="eastAsia"/>
          <w:lang w:val="en-US" w:eastAsia="ja-JP"/>
        </w:rPr>
        <w:t xml:space="preserve"> and special subframe configuration</w:t>
      </w:r>
    </w:p>
    <w:p w:rsidR="00963AAF" w:rsidRDefault="00963AAF" w:rsidP="00963AAF">
      <w:pPr>
        <w:numPr>
          <w:ilvl w:val="1"/>
          <w:numId w:val="16"/>
        </w:numPr>
        <w:tabs>
          <w:tab w:val="clear" w:pos="1080"/>
          <w:tab w:val="num" w:pos="1364"/>
        </w:tabs>
        <w:overflowPunct/>
        <w:autoSpaceDE/>
        <w:autoSpaceDN/>
        <w:adjustRightInd/>
        <w:spacing w:after="0"/>
        <w:ind w:left="1364"/>
        <w:textAlignment w:val="auto"/>
        <w:rPr>
          <w:rFonts w:eastAsia="MS Mincho"/>
          <w:lang w:val="en-US" w:eastAsia="ja-JP"/>
        </w:rPr>
      </w:pPr>
      <w:r>
        <w:rPr>
          <w:rFonts w:eastAsia="MS Mincho"/>
          <w:lang w:val="en-US" w:eastAsia="ja-JP"/>
        </w:rPr>
        <w:t>T</w:t>
      </w:r>
      <w:r>
        <w:rPr>
          <w:rFonts w:eastAsia="MS Mincho" w:hint="eastAsia"/>
          <w:lang w:val="en-US" w:eastAsia="ja-JP"/>
        </w:rPr>
        <w:t>his does not preclude at most one semi-statica</w:t>
      </w:r>
      <w:r>
        <w:rPr>
          <w:rFonts w:eastAsia="MS Mincho"/>
          <w:lang w:val="en-US" w:eastAsia="ja-JP"/>
        </w:rPr>
        <w:t xml:space="preserve">lly </w:t>
      </w:r>
      <w:r w:rsidRPr="00A157EF">
        <w:rPr>
          <w:rFonts w:eastAsia="MS Mincho"/>
          <w:lang w:val="en-US" w:eastAsia="ja-JP"/>
        </w:rPr>
        <w:t>DL/UL transmission direction</w:t>
      </w:r>
      <w:r>
        <w:rPr>
          <w:rFonts w:eastAsia="MS Mincho"/>
          <w:lang w:val="en-US" w:eastAsia="ja-JP"/>
        </w:rPr>
        <w:t xml:space="preserve"> </w:t>
      </w:r>
      <w:r>
        <w:rPr>
          <w:rFonts w:eastAsia="MS Mincho" w:hint="eastAsia"/>
          <w:lang w:val="en-US" w:eastAsia="ja-JP"/>
        </w:rPr>
        <w:t>configuration in NR specification</w:t>
      </w:r>
    </w:p>
    <w:p w:rsidR="00963AAF" w:rsidRDefault="00963AAF" w:rsidP="00963AAF">
      <w:pPr>
        <w:numPr>
          <w:ilvl w:val="1"/>
          <w:numId w:val="16"/>
        </w:numPr>
        <w:tabs>
          <w:tab w:val="clear" w:pos="1080"/>
          <w:tab w:val="num" w:pos="1364"/>
        </w:tabs>
        <w:overflowPunct/>
        <w:autoSpaceDE/>
        <w:autoSpaceDN/>
        <w:adjustRightInd/>
        <w:spacing w:after="0"/>
        <w:ind w:left="1364"/>
        <w:textAlignment w:val="auto"/>
        <w:rPr>
          <w:rFonts w:eastAsia="MS Mincho"/>
          <w:lang w:val="en-US" w:eastAsia="ja-JP"/>
        </w:rPr>
      </w:pPr>
      <w:r>
        <w:rPr>
          <w:rFonts w:eastAsia="MS Mincho" w:hint="eastAsia"/>
          <w:lang w:val="en-US" w:eastAsia="ja-JP"/>
        </w:rPr>
        <w:t xml:space="preserve">Note: DL/UL interference also can be avoided by using dynamically </w:t>
      </w:r>
      <w:r>
        <w:rPr>
          <w:rFonts w:eastAsia="MS Mincho"/>
          <w:lang w:val="en-US" w:eastAsia="ja-JP"/>
        </w:rPr>
        <w:t>assigned</w:t>
      </w:r>
      <w:r>
        <w:rPr>
          <w:rFonts w:eastAsia="MS Mincho" w:hint="eastAsia"/>
          <w:lang w:val="en-US" w:eastAsia="ja-JP"/>
        </w:rPr>
        <w:t xml:space="preserve"> DL/UL transmission direction in some cases</w:t>
      </w:r>
    </w:p>
    <w:p w:rsidR="00963AAF" w:rsidRDefault="00963AAF" w:rsidP="00963AAF">
      <w:pPr>
        <w:numPr>
          <w:ilvl w:val="1"/>
          <w:numId w:val="16"/>
        </w:numPr>
        <w:tabs>
          <w:tab w:val="clear" w:pos="1080"/>
          <w:tab w:val="num" w:pos="1364"/>
        </w:tabs>
        <w:overflowPunct/>
        <w:autoSpaceDE/>
        <w:autoSpaceDN/>
        <w:adjustRightInd/>
        <w:spacing w:after="0"/>
        <w:ind w:left="1364"/>
        <w:textAlignment w:val="auto"/>
        <w:rPr>
          <w:rFonts w:eastAsia="MS Mincho"/>
          <w:lang w:val="en-US" w:eastAsia="ja-JP"/>
        </w:rPr>
      </w:pPr>
      <w:r>
        <w:rPr>
          <w:rFonts w:eastAsia="MS Mincho" w:hint="eastAsia"/>
          <w:lang w:val="en-US" w:eastAsia="ja-JP"/>
        </w:rPr>
        <w:t>FFS: Backhaul signaling between NR and LTE for interference coordination</w:t>
      </w:r>
    </w:p>
    <w:p w:rsidR="00963AAF" w:rsidRDefault="00963AAF" w:rsidP="00963AAF">
      <w:pPr>
        <w:numPr>
          <w:ilvl w:val="1"/>
          <w:numId w:val="16"/>
        </w:numPr>
        <w:tabs>
          <w:tab w:val="clear" w:pos="1080"/>
          <w:tab w:val="num" w:pos="1364"/>
        </w:tabs>
        <w:overflowPunct/>
        <w:autoSpaceDE/>
        <w:autoSpaceDN/>
        <w:adjustRightInd/>
        <w:spacing w:after="0"/>
        <w:ind w:left="1364"/>
        <w:textAlignment w:val="auto"/>
        <w:rPr>
          <w:rFonts w:eastAsia="MS Mincho"/>
          <w:lang w:val="en-US" w:eastAsia="ja-JP"/>
        </w:rPr>
      </w:pPr>
      <w:r>
        <w:rPr>
          <w:rFonts w:eastAsia="MS Mincho" w:hint="eastAsia"/>
          <w:lang w:val="en-US" w:eastAsia="ja-JP"/>
        </w:rPr>
        <w:t>FFS: Other mechanisms</w:t>
      </w:r>
    </w:p>
    <w:p w:rsidR="00963AAF" w:rsidRPr="00C10820" w:rsidRDefault="00963AAF" w:rsidP="00963AAF">
      <w:pPr>
        <w:numPr>
          <w:ilvl w:val="0"/>
          <w:numId w:val="16"/>
        </w:numPr>
        <w:tabs>
          <w:tab w:val="clear" w:pos="360"/>
          <w:tab w:val="num" w:pos="644"/>
        </w:tabs>
        <w:overflowPunct/>
        <w:autoSpaceDE/>
        <w:autoSpaceDN/>
        <w:adjustRightInd/>
        <w:spacing w:after="0"/>
        <w:ind w:left="644"/>
        <w:textAlignment w:val="auto"/>
        <w:rPr>
          <w:rFonts w:eastAsia="MS Mincho"/>
          <w:lang w:val="en-US" w:eastAsia="ja-JP"/>
        </w:rPr>
      </w:pPr>
      <w:r>
        <w:rPr>
          <w:rFonts w:eastAsia="MS Mincho" w:hint="eastAsia"/>
          <w:lang w:val="en-US" w:eastAsia="ja-JP"/>
        </w:rPr>
        <w:t>Note that the above agreements do not imply that UE has to support simultaneous connection of NR and LTE in the same or overlapping carrier</w:t>
      </w:r>
    </w:p>
    <w:p w:rsidR="00963AAF" w:rsidRPr="00A157EF" w:rsidRDefault="00963AAF" w:rsidP="00963AAF">
      <w:pPr>
        <w:numPr>
          <w:ilvl w:val="0"/>
          <w:numId w:val="16"/>
        </w:numPr>
        <w:tabs>
          <w:tab w:val="clear" w:pos="360"/>
          <w:tab w:val="num" w:pos="644"/>
        </w:tabs>
        <w:overflowPunct/>
        <w:autoSpaceDE/>
        <w:autoSpaceDN/>
        <w:adjustRightInd/>
        <w:spacing w:after="0"/>
        <w:ind w:left="644"/>
        <w:textAlignment w:val="auto"/>
        <w:rPr>
          <w:rFonts w:eastAsia="MS Mincho"/>
          <w:lang w:val="en-US" w:eastAsia="ja-JP"/>
        </w:rPr>
      </w:pPr>
      <w:r>
        <w:rPr>
          <w:rFonts w:eastAsia="MS Mincho"/>
          <w:lang w:val="en-US" w:eastAsia="ja-JP"/>
        </w:rPr>
        <w:t xml:space="preserve">Note: </w:t>
      </w:r>
      <w:r>
        <w:rPr>
          <w:rFonts w:eastAsia="MS Mincho" w:hint="eastAsia"/>
          <w:lang w:val="en-US" w:eastAsia="ja-JP"/>
        </w:rPr>
        <w:t>that above</w:t>
      </w:r>
      <w:r w:rsidRPr="00C22D63">
        <w:rPr>
          <w:rFonts w:eastAsia="MS Mincho"/>
          <w:lang w:val="en-US" w:eastAsia="ja-JP"/>
        </w:rPr>
        <w:t xml:space="preserve"> mechanisms may be reused from forward compatibility mechanisms</w:t>
      </w:r>
      <w:r>
        <w:rPr>
          <w:rFonts w:eastAsia="MS Mincho" w:hint="eastAsia"/>
          <w:lang w:val="en-US" w:eastAsia="ja-JP"/>
        </w:rPr>
        <w:t>, or mechanisms for multiplexing eMBB and URLLC on the DL, or mini-slot</w:t>
      </w:r>
    </w:p>
    <w:p w:rsidR="00963AAF" w:rsidRPr="00D451FA" w:rsidRDefault="00963AAF" w:rsidP="00D451FA">
      <w:pPr>
        <w:rPr>
          <w:rFonts w:eastAsia="MS Mincho"/>
          <w:lang w:val="en-US" w:eastAsia="ja-JP"/>
        </w:rPr>
      </w:pPr>
    </w:p>
    <w:p w:rsidR="00001D6D" w:rsidRDefault="00001D6D" w:rsidP="00001D6D">
      <w:pPr>
        <w:pStyle w:val="Heading1"/>
      </w:pPr>
      <w:r>
        <w:t>2</w:t>
      </w:r>
      <w:r>
        <w:tab/>
      </w:r>
      <w:r w:rsidR="00963AAF">
        <w:t>Discussion</w:t>
      </w:r>
    </w:p>
    <w:p w:rsidR="003B1279" w:rsidRDefault="003B1279" w:rsidP="00703285">
      <w:pPr>
        <w:pStyle w:val="Heading2"/>
      </w:pPr>
      <w:r>
        <w:t>2.1</w:t>
      </w:r>
      <w:r>
        <w:tab/>
        <w:t>Cell on/off as a frequency sharing mechanism</w:t>
      </w:r>
    </w:p>
    <w:p w:rsidR="003B1279" w:rsidRDefault="003B1279" w:rsidP="003B1279">
      <w:pPr>
        <w:keepNext/>
        <w:spacing w:after="0"/>
        <w:jc w:val="center"/>
      </w:pPr>
      <w:r w:rsidRPr="00B12672">
        <w:rPr>
          <w:rFonts w:ascii="Calibri" w:hAnsi="Calibri"/>
          <w:noProof/>
          <w:lang w:val="fi-FI" w:eastAsia="fi-FI"/>
        </w:rPr>
        <w:drawing>
          <wp:inline distT="0" distB="0" distL="0" distR="0">
            <wp:extent cx="3130942" cy="2846566"/>
            <wp:effectExtent l="0" t="0" r="0" b="0"/>
            <wp:docPr id="65" name="Picture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180950" cy="2892032"/>
                    </a:xfrm>
                    <a:prstGeom prst="rect">
                      <a:avLst/>
                    </a:prstGeom>
                    <a:noFill/>
                    <a:ln>
                      <a:noFill/>
                    </a:ln>
                  </pic:spPr>
                </pic:pic>
              </a:graphicData>
            </a:graphic>
          </wp:inline>
        </w:drawing>
      </w:r>
    </w:p>
    <w:p w:rsidR="003B1279" w:rsidRPr="003B1279" w:rsidRDefault="003B1279" w:rsidP="003B1279">
      <w:pPr>
        <w:pStyle w:val="Caption"/>
        <w:jc w:val="center"/>
        <w:rPr>
          <w:rFonts w:ascii="Calibri" w:hAnsi="Calibri"/>
          <w:sz w:val="24"/>
          <w:szCs w:val="24"/>
          <w:lang w:val="en-US"/>
        </w:rPr>
      </w:pPr>
      <w:r>
        <w:t xml:space="preserve">Figure </w:t>
      </w:r>
      <w:r w:rsidR="00D70D28">
        <w:fldChar w:fldCharType="begin"/>
      </w:r>
      <w:r w:rsidR="00D70D28">
        <w:instrText xml:space="preserve"> SEQ Figure \* ARABIC </w:instrText>
      </w:r>
      <w:r w:rsidR="00D70D28">
        <w:fldChar w:fldCharType="separate"/>
      </w:r>
      <w:r>
        <w:rPr>
          <w:noProof/>
        </w:rPr>
        <w:t>1</w:t>
      </w:r>
      <w:r w:rsidR="00D70D28">
        <w:rPr>
          <w:noProof/>
        </w:rPr>
        <w:fldChar w:fldCharType="end"/>
      </w:r>
      <w:r w:rsidRPr="003B1279">
        <w:rPr>
          <w:lang w:val="en-US"/>
        </w:rPr>
        <w:t>: Dynamic Partitioning of LTE and 5G (source, AT&amp;T [4])</w:t>
      </w:r>
    </w:p>
    <w:p w:rsidR="00E01190" w:rsidRDefault="00E01190" w:rsidP="00703285"/>
    <w:p w:rsidR="00703285" w:rsidRDefault="00703285" w:rsidP="00703285">
      <w:r>
        <w:t xml:space="preserve">In [4] a mechanism for dynamically sharing a carrier frequency between NR and LTE by SCell on/off mechanism is suggested. From LTE carrier </w:t>
      </w:r>
      <w:r w:rsidR="00FF7921">
        <w:t>perspective,</w:t>
      </w:r>
      <w:r>
        <w:t xml:space="preserve"> quite a dynamic on/off mechanism could be achieved simply by powering the CRS/PSS/SSS/PBCH off and back on again. Simultaneously activating or deactivating the SCell on UEs, or handing single carrier UEs over from another LTE carrier when powering down the common transmissions would allow serving active UEs without disruptions. It would be possible to not allow LTE UEs to camp on the LTE carrier subject to on/off behaviour, or normal LTE cell-reselection mechanism could be allowed to do its thing and the inactive LTE UEs would always end up maintaining service. Using regular reselection mechanism would be especially attractive if the rate of LTE carrier on/off is not very rapid, as it would minimize the impact on the existing LTE network configuration.</w:t>
      </w:r>
    </w:p>
    <w:p w:rsidR="00E01190" w:rsidRDefault="00320E8B" w:rsidP="00320E8B">
      <w:pPr>
        <w:jc w:val="center"/>
      </w:pPr>
      <w:r w:rsidRPr="00320E8B">
        <w:rPr>
          <w:noProof/>
          <w:lang w:val="fi-FI" w:eastAsia="fi-FI"/>
        </w:rPr>
        <w:lastRenderedPageBreak/>
        <w:drawing>
          <wp:inline distT="0" distB="0" distL="0" distR="0">
            <wp:extent cx="2284486" cy="2584174"/>
            <wp:effectExtent l="0" t="0" r="1905" b="0"/>
            <wp:docPr id="66" name="Pictur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297895" cy="2599342"/>
                    </a:xfrm>
                    <a:prstGeom prst="rect">
                      <a:avLst/>
                    </a:prstGeom>
                    <a:noFill/>
                    <a:ln>
                      <a:noFill/>
                    </a:ln>
                  </pic:spPr>
                </pic:pic>
              </a:graphicData>
            </a:graphic>
          </wp:inline>
        </w:drawing>
      </w:r>
    </w:p>
    <w:p w:rsidR="00320E8B" w:rsidRDefault="00320E8B" w:rsidP="00320E8B">
      <w:pPr>
        <w:pStyle w:val="Caption"/>
        <w:jc w:val="center"/>
        <w:rPr>
          <w:lang w:val="en-US"/>
        </w:rPr>
      </w:pPr>
      <w:r>
        <w:t xml:space="preserve">Figure </w:t>
      </w:r>
      <w:r>
        <w:fldChar w:fldCharType="begin"/>
      </w:r>
      <w:r>
        <w:instrText xml:space="preserve"> SEQ Figure \* ARABIC </w:instrText>
      </w:r>
      <w:r>
        <w:fldChar w:fldCharType="separate"/>
      </w:r>
      <w:r>
        <w:rPr>
          <w:noProof/>
        </w:rPr>
        <w:t>2</w:t>
      </w:r>
      <w:r>
        <w:fldChar w:fldCharType="end"/>
      </w:r>
      <w:r w:rsidRPr="003B1279">
        <w:rPr>
          <w:lang w:val="en-US"/>
        </w:rPr>
        <w:t xml:space="preserve">: </w:t>
      </w:r>
      <w:r>
        <w:rPr>
          <w:lang w:val="en-US"/>
        </w:rPr>
        <w:t>Illustration of sharing one side of the 5G allocation with LTE</w:t>
      </w:r>
    </w:p>
    <w:p w:rsidR="00320E8B" w:rsidRPr="00A91752" w:rsidRDefault="00320E8B" w:rsidP="00320E8B"/>
    <w:p w:rsidR="00320E8B" w:rsidRDefault="00320E8B" w:rsidP="00320E8B">
      <w:r w:rsidRPr="00A91752">
        <w:t>The NR carrier would need to be able to adapt its bandwidth, and there should be a way to not allocate its synch signals on the shared part of the frequency. Due to this, a more practical allocation than in the figure 1 illustration could be to allocate the LTE carrier on one side of the NR carrier rather than in the middle so that the NR allocation always remains contiguous. This is illustrated in figure 2 above.</w:t>
      </w:r>
    </w:p>
    <w:p w:rsidR="00320E8B" w:rsidRPr="00320E8B" w:rsidRDefault="00320E8B" w:rsidP="00320E8B">
      <w:pPr>
        <w:rPr>
          <w:lang w:val="en-US"/>
        </w:rPr>
      </w:pPr>
    </w:p>
    <w:p w:rsidR="00065F43" w:rsidRDefault="003B1279" w:rsidP="00065F43">
      <w:pPr>
        <w:pStyle w:val="Heading2"/>
      </w:pPr>
      <w:r>
        <w:t>2.2</w:t>
      </w:r>
      <w:r w:rsidR="00065F43">
        <w:tab/>
      </w:r>
      <w:r>
        <w:t>Simultaneous allocation of LTE and NR carriers on the same frequency</w:t>
      </w:r>
    </w:p>
    <w:p w:rsidR="00065F43" w:rsidRDefault="000D2987" w:rsidP="00065F43">
      <w:r>
        <w:t xml:space="preserve">In downlink, normal LTE sub-frames contain CRS scattered across the full frequency band and time duration of the subframe, more specifically CRS occurs </w:t>
      </w:r>
      <w:r w:rsidR="00901197">
        <w:t xml:space="preserve">on 4 </w:t>
      </w:r>
      <w:r>
        <w:t>out of 12 subcarriers</w:t>
      </w:r>
      <w:r w:rsidR="00901197">
        <w:t xml:space="preserve"> in frequency domain and 4 (1 or 2 antenna ports) or 6 (4 antenna ports) out of</w:t>
      </w:r>
      <w:r>
        <w:t xml:space="preserve"> 14</w:t>
      </w:r>
      <w:r w:rsidR="00901197">
        <w:t xml:space="preserve"> symbols in time domain</w:t>
      </w:r>
      <w:r>
        <w:t xml:space="preserve">. </w:t>
      </w:r>
    </w:p>
    <w:p w:rsidR="00901197" w:rsidRDefault="00901197" w:rsidP="00065F43">
      <w:r>
        <w:t>The PSS and SSS repeating every 5 ms on the center 6 PRBs and occupying only 2 out of every OFDM 70 symbols can be considered as non-issue that could be easily scheduled around on NR carrier or left unused with the forward compatibility resource reservation mechanism.</w:t>
      </w:r>
    </w:p>
    <w:p w:rsidR="00D56B9B" w:rsidRPr="00065F43" w:rsidRDefault="00901197" w:rsidP="00065F43">
      <w:r>
        <w:t xml:space="preserve">In principle, the LTE uplink does not cause any </w:t>
      </w:r>
      <w:r w:rsidR="003B1279">
        <w:t xml:space="preserve">LTE+NR same carrier </w:t>
      </w:r>
      <w:r>
        <w:t>coexistence issues as long as the LTE PUCCH and PRACH allocations are guaranteed</w:t>
      </w:r>
      <w:r w:rsidR="003B1279">
        <w:t xml:space="preserve"> in the scheduling and configuration of the two systems</w:t>
      </w:r>
      <w:r>
        <w:t>.</w:t>
      </w:r>
    </w:p>
    <w:p w:rsidR="00065F43" w:rsidRDefault="00D0152A" w:rsidP="00065F43">
      <w:pPr>
        <w:keepNext/>
        <w:jc w:val="center"/>
      </w:pPr>
      <w:r w:rsidRPr="00D0152A">
        <w:drawing>
          <wp:inline distT="0" distB="0" distL="0" distR="0">
            <wp:extent cx="6120765" cy="248219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20765" cy="2482195"/>
                    </a:xfrm>
                    <a:prstGeom prst="rect">
                      <a:avLst/>
                    </a:prstGeom>
                    <a:noFill/>
                    <a:ln>
                      <a:noFill/>
                    </a:ln>
                  </pic:spPr>
                </pic:pic>
              </a:graphicData>
            </a:graphic>
          </wp:inline>
        </w:drawing>
      </w:r>
    </w:p>
    <w:p w:rsidR="00065F43" w:rsidRPr="000D2987" w:rsidRDefault="00065F43" w:rsidP="000D2987">
      <w:pPr>
        <w:pStyle w:val="Caption"/>
        <w:jc w:val="center"/>
        <w:rPr>
          <w:lang w:val="en-US"/>
        </w:rPr>
      </w:pPr>
      <w:r>
        <w:t xml:space="preserve">Figure </w:t>
      </w:r>
      <w:r w:rsidR="00D70D28">
        <w:fldChar w:fldCharType="begin"/>
      </w:r>
      <w:r w:rsidR="00D70D28">
        <w:instrText xml:space="preserve"> SEQ Figure \* AR</w:instrText>
      </w:r>
      <w:r w:rsidR="00D70D28">
        <w:instrText xml:space="preserve">ABIC </w:instrText>
      </w:r>
      <w:r w:rsidR="00D70D28">
        <w:fldChar w:fldCharType="separate"/>
      </w:r>
      <w:r w:rsidR="00320E8B">
        <w:rPr>
          <w:noProof/>
        </w:rPr>
        <w:t>3</w:t>
      </w:r>
      <w:r w:rsidR="00D70D28">
        <w:rPr>
          <w:noProof/>
        </w:rPr>
        <w:fldChar w:fldCharType="end"/>
      </w:r>
      <w:r w:rsidRPr="00065F43">
        <w:rPr>
          <w:lang w:val="en-US"/>
        </w:rPr>
        <w:t xml:space="preserve">: </w:t>
      </w:r>
      <w:r>
        <w:rPr>
          <w:lang w:val="en-US"/>
        </w:rPr>
        <w:t>Illustration of normal</w:t>
      </w:r>
      <w:r w:rsidR="00D0152A">
        <w:rPr>
          <w:lang w:val="en-US"/>
        </w:rPr>
        <w:t xml:space="preserve"> and MBSFN LTE subframe</w:t>
      </w:r>
      <w:r w:rsidR="000D2987">
        <w:rPr>
          <w:lang w:val="en-US"/>
        </w:rPr>
        <w:t xml:space="preserve"> in downlink</w:t>
      </w:r>
    </w:p>
    <w:p w:rsidR="00D56B9B" w:rsidRDefault="00D56B9B" w:rsidP="00065F43"/>
    <w:p w:rsidR="003C496C" w:rsidRPr="003C496C" w:rsidRDefault="003C496C" w:rsidP="00065F43">
      <w:pPr>
        <w:rPr>
          <w:b/>
          <w:u w:val="single"/>
        </w:rPr>
      </w:pPr>
      <w:r w:rsidRPr="003C496C">
        <w:rPr>
          <w:b/>
          <w:u w:val="single"/>
        </w:rPr>
        <w:t>Brute force CRS blankin</w:t>
      </w:r>
      <w:r>
        <w:rPr>
          <w:b/>
          <w:u w:val="single"/>
        </w:rPr>
        <w:t>g</w:t>
      </w:r>
    </w:p>
    <w:p w:rsidR="000D2987" w:rsidRDefault="00D56B9B" w:rsidP="00065F43">
      <w:r>
        <w:t>In order to generate room for NR transmissions on a shared LTE+NR carrier, n</w:t>
      </w:r>
      <w:r w:rsidR="000D2987">
        <w:t xml:space="preserve">ot transmitting CRS over a number of consecutive sub-frames </w:t>
      </w:r>
      <w:r w:rsidR="003C496C">
        <w:t xml:space="preserve">either </w:t>
      </w:r>
      <w:r w:rsidR="000D2987">
        <w:t>over the full or over part o</w:t>
      </w:r>
      <w:r>
        <w:t xml:space="preserve">f the allocated LTE </w:t>
      </w:r>
      <w:r w:rsidR="003C496C">
        <w:t xml:space="preserve">carrier BW </w:t>
      </w:r>
      <w:r>
        <w:t xml:space="preserve">is possible. </w:t>
      </w:r>
      <w:r w:rsidR="003C496C">
        <w:t>T</w:t>
      </w:r>
      <w:r w:rsidR="000D2987">
        <w:t>his would disrupt the active LTE UEs</w:t>
      </w:r>
      <w:r w:rsidR="003C496C">
        <w:t>’</w:t>
      </w:r>
      <w:r w:rsidR="000D2987">
        <w:t xml:space="preserve"> channel estimation and sufficient recovery time before LTE data transmissions could resume after blanking the CRS would </w:t>
      </w:r>
      <w:r w:rsidR="003C496C">
        <w:t>need to be ensured. In a system that is not operating in full load,</w:t>
      </w:r>
      <w:r w:rsidR="000D2987">
        <w:t xml:space="preserve"> th</w:t>
      </w:r>
      <w:r w:rsidR="003C496C">
        <w:t>is sort of switching overhead could be considered acceptable.</w:t>
      </w:r>
      <w:r w:rsidR="005314DC">
        <w:t xml:space="preserve"> This approach could be seen as a specific SCell on/off mechanism.</w:t>
      </w:r>
    </w:p>
    <w:p w:rsidR="008F2D95" w:rsidRDefault="00D0152A" w:rsidP="00065F43">
      <w:r>
        <w:t>It is worth noting that brute-force CRS blanking cannot be fully dynamic due to the disruption in CRS causing adverse effects to the LTE UEs. If there are active UEs in the cell, those will lose link and have an interruption in the data service. Similarly, UEs camping in the cell will momentarily lose their serving network and are unable to initiate data sessions or receive paging messages until successful reselection to another cell.</w:t>
      </w:r>
    </w:p>
    <w:p w:rsidR="00D0152A" w:rsidRDefault="00D0152A" w:rsidP="00065F43">
      <w:r>
        <w:t>The brute-force CRS blanking might be less capable of answering the requirement of non-collocated LTE and NR base stations sharing the same frequency than somewhat more controlled cell on/off mechanisms.</w:t>
      </w:r>
    </w:p>
    <w:p w:rsidR="003C496C" w:rsidRPr="003C496C" w:rsidRDefault="003C496C" w:rsidP="003C496C">
      <w:pPr>
        <w:rPr>
          <w:b/>
          <w:u w:val="single"/>
        </w:rPr>
      </w:pPr>
      <w:r>
        <w:rPr>
          <w:b/>
          <w:u w:val="single"/>
        </w:rPr>
        <w:t>MBSFN subframe usage</w:t>
      </w:r>
    </w:p>
    <w:p w:rsidR="008F2D95" w:rsidRDefault="003C496C" w:rsidP="00065F43">
      <w:r>
        <w:t>The MBSFN subframes could be configured for up to 60% of LTE time, and this w</w:t>
      </w:r>
      <w:r w:rsidR="005314DC">
        <w:t>ay blank CRS and enable transmitting NR data on (at least) the SFN part of the MBSFN subframe allocation. The MBSFN allocation could be dynamically shared with LTE TM9/10 and NR transmissions. The MBSFN subframe usage would have the downside that LTE UEs not supporting TM9/10 would suffer from a poor performance even if there is no NR traffic, and the NR users would suffer from poor performance even if there was no LTE traffic as there would be no way to dynamically adapt the MBSFN allocation to the LTE/NR traffic split.</w:t>
      </w:r>
    </w:p>
    <w:p w:rsidR="00E32E96" w:rsidRDefault="00E32E96" w:rsidP="00065F43">
      <w:r>
        <w:t>MBSFN subframe based frequency sharing would only be possible with collocated and tightly linked LTE and NR base station operation and would not be able to answer to the requirement of non-collocated LTE and NR base stations sharing the same frequency.</w:t>
      </w:r>
    </w:p>
    <w:p w:rsidR="005314DC" w:rsidRPr="003C496C" w:rsidRDefault="005314DC" w:rsidP="005314DC">
      <w:pPr>
        <w:rPr>
          <w:b/>
          <w:u w:val="single"/>
        </w:rPr>
      </w:pPr>
      <w:r>
        <w:rPr>
          <w:b/>
          <w:u w:val="single"/>
        </w:rPr>
        <w:t>Forw</w:t>
      </w:r>
      <w:r w:rsidR="006A2607">
        <w:rPr>
          <w:b/>
          <w:u w:val="single"/>
        </w:rPr>
        <w:t>ard compatible resources mapping</w:t>
      </w:r>
      <w:r>
        <w:rPr>
          <w:b/>
          <w:u w:val="single"/>
        </w:rPr>
        <w:t xml:space="preserve"> NR around CRS symbols</w:t>
      </w:r>
    </w:p>
    <w:p w:rsidR="003C496C" w:rsidRDefault="005F46BC" w:rsidP="00065F43">
      <w:r>
        <w:t>For 2-antenna port LTE</w:t>
      </w:r>
      <w:r w:rsidR="006A2607">
        <w:t xml:space="preserve"> CRS</w:t>
      </w:r>
      <w:r>
        <w:t>, it would be possible to allocate 10/14 symbols, ~70% (for 4 antenna ports 8/14 symbols, ~60%) for dynamic use for NR transmissions</w:t>
      </w:r>
      <w:r w:rsidR="00E32E96">
        <w:t xml:space="preserve"> and avoid using the symbols that carry LTE CRS</w:t>
      </w:r>
      <w:r>
        <w:t xml:space="preserve">. </w:t>
      </w:r>
      <w:r w:rsidR="00A91752">
        <w:t>This approach would not limit the LTE performance, but would handicap the NR carrier performance</w:t>
      </w:r>
      <w:r w:rsidR="00E32E96">
        <w:t xml:space="preserve"> even during no activity in the LTE carrier</w:t>
      </w:r>
      <w:r w:rsidR="00A91752">
        <w:t>.</w:t>
      </w:r>
    </w:p>
    <w:p w:rsidR="00E32E96" w:rsidRDefault="006A2607" w:rsidP="00E32E96">
      <w:r>
        <w:t>Forward compatible resources</w:t>
      </w:r>
      <w:r w:rsidR="00E32E96">
        <w:t xml:space="preserve"> based frequency sharing would only be possible with collocated and tightly linked LTE and NR base station operation and would not be able to answer to the requirement of non-collocated LTE and NR base stations sharing the same frequency.</w:t>
      </w:r>
    </w:p>
    <w:p w:rsidR="008F2D95" w:rsidRPr="003C496C" w:rsidRDefault="008F2D95" w:rsidP="008F2D95">
      <w:pPr>
        <w:rPr>
          <w:b/>
          <w:u w:val="single"/>
        </w:rPr>
      </w:pPr>
      <w:r>
        <w:rPr>
          <w:b/>
          <w:u w:val="single"/>
        </w:rPr>
        <w:t xml:space="preserve">Extending </w:t>
      </w:r>
      <w:r>
        <w:rPr>
          <w:b/>
          <w:u w:val="single"/>
        </w:rPr>
        <w:t>Forwa</w:t>
      </w:r>
      <w:r w:rsidR="006A2607">
        <w:rPr>
          <w:b/>
          <w:u w:val="single"/>
        </w:rPr>
        <w:t>rd compatible resources enabling mapping</w:t>
      </w:r>
      <w:r>
        <w:rPr>
          <w:b/>
          <w:u w:val="single"/>
        </w:rPr>
        <w:t xml:space="preserve"> NR around CRS </w:t>
      </w:r>
      <w:r>
        <w:rPr>
          <w:b/>
          <w:u w:val="single"/>
        </w:rPr>
        <w:t>Resource Element</w:t>
      </w:r>
      <w:r>
        <w:rPr>
          <w:b/>
          <w:u w:val="single"/>
        </w:rPr>
        <w:t>s</w:t>
      </w:r>
    </w:p>
    <w:p w:rsidR="008F2D95" w:rsidRDefault="00194DE4" w:rsidP="008F2D95">
      <w:r>
        <w:t xml:space="preserve">The most elaborate sharing mechanism listed as </w:t>
      </w:r>
      <w:r w:rsidR="008F2D95">
        <w:t xml:space="preserve">FFS </w:t>
      </w:r>
      <w:r>
        <w:t xml:space="preserve">in the </w:t>
      </w:r>
      <w:r w:rsidR="008F2D95">
        <w:t xml:space="preserve">RAN1#87 </w:t>
      </w:r>
      <w:r w:rsidR="006A2607">
        <w:t xml:space="preserve">agreement, </w:t>
      </w:r>
      <w:r w:rsidR="006A2607" w:rsidRPr="006A2607">
        <w:rPr>
          <w:i/>
        </w:rPr>
        <w:t>mapping NR signals and channels around the LTE CRS patterns</w:t>
      </w:r>
      <w:r w:rsidR="006A2607">
        <w:t>, would for 2-antenna port CRS result with ~10% loss from CRS, 20% loss for 4-antenna port CRS.</w:t>
      </w:r>
      <w:r w:rsidR="00913208">
        <w:t xml:space="preserve"> Mapping NR resource elements around the LTE CRS might cause additional trouble to data rate matching as well as to all the REs that cannot be easily punctured, such as PSS, SSS, PBCH and all RS. </w:t>
      </w:r>
    </w:p>
    <w:p w:rsidR="006A2607" w:rsidRDefault="006A2607" w:rsidP="006A2607">
      <w:r>
        <w:t>Forward compatible resources based frequency sharing would only be possible with collocated and tightly linked LTE and NR base station operation and would not be able to answer to the requirement of non-collocated LTE and NR base stations sharing the same frequency.</w:t>
      </w:r>
    </w:p>
    <w:p w:rsidR="00987B0E" w:rsidRPr="00001D6D" w:rsidRDefault="00001D6D" w:rsidP="00001D6D">
      <w:pPr>
        <w:pStyle w:val="Heading1"/>
      </w:pPr>
      <w:r>
        <w:t>3</w:t>
      </w:r>
      <w:r>
        <w:tab/>
      </w:r>
      <w:r w:rsidR="00963AAF">
        <w:t>Conclusion</w:t>
      </w:r>
    </w:p>
    <w:p w:rsidR="00913208" w:rsidRDefault="00C15D36" w:rsidP="00963AAF">
      <w:pPr>
        <w:rPr>
          <w:lang w:val="en-US"/>
        </w:rPr>
      </w:pPr>
      <w:r>
        <w:rPr>
          <w:lang w:val="en-US"/>
        </w:rPr>
        <w:t xml:space="preserve">LTE SCell on/off either with longer term handling of the LTE UEs or with </w:t>
      </w:r>
      <w:r w:rsidR="006A2607">
        <w:rPr>
          <w:lang w:val="en-US"/>
        </w:rPr>
        <w:t xml:space="preserve">potentially somewhat </w:t>
      </w:r>
      <w:r>
        <w:rPr>
          <w:lang w:val="en-US"/>
        </w:rPr>
        <w:t xml:space="preserve">more dynamic but </w:t>
      </w:r>
      <w:r w:rsidR="006A2607">
        <w:rPr>
          <w:lang w:val="en-US"/>
        </w:rPr>
        <w:t xml:space="preserve">disruptive CRS/PSS/SSS blanking, or its more controlled form of cell power-up and power-down, </w:t>
      </w:r>
      <w:r>
        <w:rPr>
          <w:lang w:val="en-US"/>
        </w:rPr>
        <w:t>would appear to offer the best performance for both LTE and NR users with li</w:t>
      </w:r>
      <w:r w:rsidR="00AA1D8C">
        <w:rPr>
          <w:lang w:val="en-US"/>
        </w:rPr>
        <w:t>mited impact to LTE eNBs and good support for LTE UEs of all types.</w:t>
      </w:r>
      <w:r w:rsidR="006A2607">
        <w:rPr>
          <w:lang w:val="en-US"/>
        </w:rPr>
        <w:t xml:space="preserve"> </w:t>
      </w:r>
    </w:p>
    <w:p w:rsidR="00905AB2" w:rsidRDefault="006A2607" w:rsidP="00963AAF">
      <w:pPr>
        <w:rPr>
          <w:lang w:val="en-US"/>
        </w:rPr>
      </w:pPr>
      <w:r>
        <w:rPr>
          <w:lang w:val="en-US"/>
        </w:rPr>
        <w:t>The MBSFN subframe or Forward Compatible resource allocation based mechanisms are tools that may be used for more tightly integrated LTE+NR frequency sharing, but these come with loss of performance that may make the LTE+NR aggregation more attractive than trying to dynamically share part of the carrier between the two.</w:t>
      </w:r>
    </w:p>
    <w:p w:rsidR="006A2607" w:rsidRPr="00905AB2" w:rsidRDefault="006A2607" w:rsidP="00963AAF">
      <w:pPr>
        <w:rPr>
          <w:lang w:val="en-US"/>
        </w:rPr>
      </w:pPr>
      <w:r>
        <w:rPr>
          <w:lang w:val="en-US"/>
        </w:rPr>
        <w:lastRenderedPageBreak/>
        <w:t>An introduction of special NR resource element mapping around LTE CRS would seem to add complexity with little incremental gain while leaving potential problems to the NR REs that can’t easily be just omitted when overlapping with LTE CRS, such as PSS, SSS, and all RS types.</w:t>
      </w:r>
      <w:r w:rsidR="00913208">
        <w:rPr>
          <w:lang w:val="en-US"/>
        </w:rPr>
        <w:t xml:space="preserve"> The complexity and feasibility of such a mechanism would need to be weighed against the added complexity it is providing.</w:t>
      </w:r>
    </w:p>
    <w:p w:rsidR="0034111C" w:rsidRPr="00A51522" w:rsidRDefault="0034111C">
      <w:pPr>
        <w:pStyle w:val="Heading1"/>
      </w:pPr>
      <w:r w:rsidRPr="00A51522">
        <w:t>References</w:t>
      </w:r>
      <w:r w:rsidR="00A2459D" w:rsidRPr="00A51522">
        <w:t xml:space="preserve"> </w:t>
      </w:r>
    </w:p>
    <w:p w:rsidR="00777315" w:rsidRDefault="00777315" w:rsidP="00777315">
      <w:pPr>
        <w:numPr>
          <w:ilvl w:val="0"/>
          <w:numId w:val="1"/>
        </w:numPr>
        <w:rPr>
          <w:sz w:val="18"/>
        </w:rPr>
      </w:pPr>
      <w:r w:rsidRPr="00013455">
        <w:rPr>
          <w:sz w:val="18"/>
        </w:rPr>
        <w:t>TR 38.913, “</w:t>
      </w:r>
      <w:r w:rsidRPr="00013455">
        <w:rPr>
          <w:i/>
          <w:sz w:val="18"/>
          <w:lang w:eastAsia="zh-CN"/>
        </w:rPr>
        <w:t>Study on Scenarios and Requirements for Next Generation Access Technologies</w:t>
      </w:r>
      <w:r w:rsidRPr="00013455">
        <w:rPr>
          <w:sz w:val="18"/>
        </w:rPr>
        <w:t>”, 3GPP</w:t>
      </w:r>
    </w:p>
    <w:p w:rsidR="00963AAF" w:rsidRPr="00963AAF" w:rsidRDefault="00963AAF" w:rsidP="00963AAF">
      <w:pPr>
        <w:numPr>
          <w:ilvl w:val="0"/>
          <w:numId w:val="1"/>
        </w:numPr>
        <w:rPr>
          <w:sz w:val="18"/>
        </w:rPr>
      </w:pPr>
      <w:r>
        <w:rPr>
          <w:sz w:val="18"/>
        </w:rPr>
        <w:t>R1-1613263, “</w:t>
      </w:r>
      <w:r w:rsidRPr="00963AAF">
        <w:rPr>
          <w:i/>
          <w:sz w:val="18"/>
        </w:rPr>
        <w:t>WF on LTE-NR Coexistence</w:t>
      </w:r>
      <w:r>
        <w:rPr>
          <w:sz w:val="18"/>
        </w:rPr>
        <w:t xml:space="preserve">”, </w:t>
      </w:r>
      <w:r w:rsidRPr="00963AAF">
        <w:rPr>
          <w:sz w:val="18"/>
        </w:rPr>
        <w:t>Huawei, HiSilicon, AT&amp;T, Orange</w:t>
      </w:r>
    </w:p>
    <w:p w:rsidR="00D451FA" w:rsidRDefault="00D451FA" w:rsidP="00D451FA">
      <w:pPr>
        <w:numPr>
          <w:ilvl w:val="0"/>
          <w:numId w:val="1"/>
        </w:numPr>
        <w:rPr>
          <w:sz w:val="18"/>
        </w:rPr>
      </w:pPr>
      <w:r w:rsidRPr="004C3EC7">
        <w:rPr>
          <w:sz w:val="18"/>
        </w:rPr>
        <w:t>RAN1 Chairman’s Not</w:t>
      </w:r>
      <w:r>
        <w:rPr>
          <w:sz w:val="18"/>
        </w:rPr>
        <w:t>es, 3GPP TSG RAN WG1 Meeting #87, 3GPP MCC</w:t>
      </w:r>
      <w:r w:rsidRPr="004C3EC7">
        <w:rPr>
          <w:sz w:val="18"/>
        </w:rPr>
        <w:t>.</w:t>
      </w:r>
    </w:p>
    <w:p w:rsidR="003B1279" w:rsidRDefault="003B1279" w:rsidP="003B1279">
      <w:pPr>
        <w:numPr>
          <w:ilvl w:val="0"/>
          <w:numId w:val="1"/>
        </w:numPr>
        <w:rPr>
          <w:sz w:val="18"/>
        </w:rPr>
      </w:pPr>
      <w:r>
        <w:rPr>
          <w:sz w:val="18"/>
        </w:rPr>
        <w:t>RP-160583, “</w:t>
      </w:r>
      <w:r w:rsidRPr="003B1279">
        <w:rPr>
          <w:i/>
          <w:sz w:val="18"/>
        </w:rPr>
        <w:t>Proposed Objective and Requirements on Dynamic Co-Existence of LTE and Next Generation RAT</w:t>
      </w:r>
      <w:r>
        <w:rPr>
          <w:sz w:val="18"/>
        </w:rPr>
        <w:t>”, AT&amp;T</w:t>
      </w:r>
    </w:p>
    <w:p w:rsidR="00D451FA" w:rsidRPr="00963AAF" w:rsidRDefault="00D451FA" w:rsidP="00963AAF">
      <w:pPr>
        <w:tabs>
          <w:tab w:val="left" w:pos="2216"/>
        </w:tabs>
        <w:rPr>
          <w:sz w:val="18"/>
        </w:rPr>
      </w:pPr>
    </w:p>
    <w:sectPr w:rsidR="00D451FA" w:rsidRPr="00963AAF"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70D28" w:rsidRDefault="00D70D28">
      <w:r>
        <w:separator/>
      </w:r>
    </w:p>
  </w:endnote>
  <w:endnote w:type="continuationSeparator" w:id="0">
    <w:p w:rsidR="00D70D28" w:rsidRDefault="00D70D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ヒラギノ角ゴ Pro W3">
    <w:panose1 w:val="00000000000000000000"/>
    <w:charset w:val="80"/>
    <w:family w:val="roman"/>
    <w:notTrueType/>
    <w:pitch w:val="default"/>
    <w:sig w:usb0="00000001" w:usb1="08070000" w:usb2="00000010" w:usb3="00000000" w:csb0="00020000"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70D28" w:rsidRDefault="00D70D28">
      <w:r>
        <w:separator/>
      </w:r>
    </w:p>
  </w:footnote>
  <w:footnote w:type="continuationSeparator" w:id="0">
    <w:p w:rsidR="00D70D28" w:rsidRDefault="00D70D2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A5053"/>
    <w:multiLevelType w:val="hybridMultilevel"/>
    <w:tmpl w:val="A6B29D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031B77"/>
    <w:multiLevelType w:val="hybridMultilevel"/>
    <w:tmpl w:val="A06842E6"/>
    <w:lvl w:ilvl="0" w:tplc="CF70AB28">
      <w:start w:val="1"/>
      <w:numFmt w:val="bullet"/>
      <w:lvlText w:val="•"/>
      <w:lvlJc w:val="left"/>
      <w:pPr>
        <w:tabs>
          <w:tab w:val="num" w:pos="720"/>
        </w:tabs>
        <w:ind w:left="720" w:hanging="360"/>
      </w:pPr>
      <w:rPr>
        <w:rFonts w:ascii="Arial" w:hAnsi="Arial" w:cs="Times New Roman" w:hint="default"/>
      </w:rPr>
    </w:lvl>
    <w:lvl w:ilvl="1" w:tplc="8C5C1506">
      <w:start w:val="860"/>
      <w:numFmt w:val="bullet"/>
      <w:lvlText w:val="•"/>
      <w:lvlJc w:val="left"/>
      <w:pPr>
        <w:tabs>
          <w:tab w:val="num" w:pos="1440"/>
        </w:tabs>
        <w:ind w:left="1440" w:hanging="360"/>
      </w:pPr>
      <w:rPr>
        <w:rFonts w:ascii="Arial" w:hAnsi="Arial" w:cs="Times New Roman" w:hint="default"/>
      </w:rPr>
    </w:lvl>
    <w:lvl w:ilvl="2" w:tplc="CFDE16CA">
      <w:start w:val="1"/>
      <w:numFmt w:val="bullet"/>
      <w:lvlText w:val="•"/>
      <w:lvlJc w:val="left"/>
      <w:pPr>
        <w:tabs>
          <w:tab w:val="num" w:pos="2160"/>
        </w:tabs>
        <w:ind w:left="2160" w:hanging="360"/>
      </w:pPr>
      <w:rPr>
        <w:rFonts w:ascii="Arial" w:hAnsi="Arial" w:cs="Times New Roman" w:hint="default"/>
      </w:rPr>
    </w:lvl>
    <w:lvl w:ilvl="3" w:tplc="8B48EEE8">
      <w:start w:val="1"/>
      <w:numFmt w:val="bullet"/>
      <w:lvlText w:val="•"/>
      <w:lvlJc w:val="left"/>
      <w:pPr>
        <w:tabs>
          <w:tab w:val="num" w:pos="2880"/>
        </w:tabs>
        <w:ind w:left="2880" w:hanging="360"/>
      </w:pPr>
      <w:rPr>
        <w:rFonts w:ascii="Arial" w:hAnsi="Arial" w:cs="Times New Roman" w:hint="default"/>
      </w:rPr>
    </w:lvl>
    <w:lvl w:ilvl="4" w:tplc="C94871BA">
      <w:start w:val="1"/>
      <w:numFmt w:val="bullet"/>
      <w:lvlText w:val="•"/>
      <w:lvlJc w:val="left"/>
      <w:pPr>
        <w:tabs>
          <w:tab w:val="num" w:pos="3600"/>
        </w:tabs>
        <w:ind w:left="3600" w:hanging="360"/>
      </w:pPr>
      <w:rPr>
        <w:rFonts w:ascii="Arial" w:hAnsi="Arial" w:cs="Times New Roman" w:hint="default"/>
      </w:rPr>
    </w:lvl>
    <w:lvl w:ilvl="5" w:tplc="582601BA">
      <w:start w:val="1"/>
      <w:numFmt w:val="bullet"/>
      <w:lvlText w:val="•"/>
      <w:lvlJc w:val="left"/>
      <w:pPr>
        <w:tabs>
          <w:tab w:val="num" w:pos="4320"/>
        </w:tabs>
        <w:ind w:left="4320" w:hanging="360"/>
      </w:pPr>
      <w:rPr>
        <w:rFonts w:ascii="Arial" w:hAnsi="Arial" w:cs="Times New Roman" w:hint="default"/>
      </w:rPr>
    </w:lvl>
    <w:lvl w:ilvl="6" w:tplc="AF34DA5E">
      <w:start w:val="1"/>
      <w:numFmt w:val="bullet"/>
      <w:lvlText w:val="•"/>
      <w:lvlJc w:val="left"/>
      <w:pPr>
        <w:tabs>
          <w:tab w:val="num" w:pos="5040"/>
        </w:tabs>
        <w:ind w:left="5040" w:hanging="360"/>
      </w:pPr>
      <w:rPr>
        <w:rFonts w:ascii="Arial" w:hAnsi="Arial" w:cs="Times New Roman" w:hint="default"/>
      </w:rPr>
    </w:lvl>
    <w:lvl w:ilvl="7" w:tplc="D5EE9B44">
      <w:start w:val="1"/>
      <w:numFmt w:val="bullet"/>
      <w:lvlText w:val="•"/>
      <w:lvlJc w:val="left"/>
      <w:pPr>
        <w:tabs>
          <w:tab w:val="num" w:pos="5760"/>
        </w:tabs>
        <w:ind w:left="5760" w:hanging="360"/>
      </w:pPr>
      <w:rPr>
        <w:rFonts w:ascii="Arial" w:hAnsi="Arial" w:cs="Times New Roman" w:hint="default"/>
      </w:rPr>
    </w:lvl>
    <w:lvl w:ilvl="8" w:tplc="28DCD474">
      <w:start w:val="1"/>
      <w:numFmt w:val="bullet"/>
      <w:lvlText w:val="•"/>
      <w:lvlJc w:val="left"/>
      <w:pPr>
        <w:tabs>
          <w:tab w:val="num" w:pos="6480"/>
        </w:tabs>
        <w:ind w:left="6480" w:hanging="360"/>
      </w:pPr>
      <w:rPr>
        <w:rFonts w:ascii="Arial" w:hAnsi="Arial" w:cs="Times New Roman" w:hint="default"/>
      </w:rPr>
    </w:lvl>
  </w:abstractNum>
  <w:abstractNum w:abstractNumId="2" w15:restartNumberingAfterBreak="0">
    <w:nsid w:val="1C4B2516"/>
    <w:multiLevelType w:val="hybridMultilevel"/>
    <w:tmpl w:val="DFFC5E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8186B34"/>
    <w:multiLevelType w:val="hybridMultilevel"/>
    <w:tmpl w:val="DA1AC43A"/>
    <w:lvl w:ilvl="0" w:tplc="91F0080E">
      <w:start w:val="1"/>
      <w:numFmt w:val="bullet"/>
      <w:lvlText w:val="•"/>
      <w:lvlJc w:val="left"/>
      <w:pPr>
        <w:tabs>
          <w:tab w:val="num" w:pos="360"/>
        </w:tabs>
        <w:ind w:left="360" w:hanging="360"/>
      </w:pPr>
      <w:rPr>
        <w:rFonts w:ascii="Arial" w:hAnsi="Arial" w:hint="default"/>
      </w:rPr>
    </w:lvl>
    <w:lvl w:ilvl="1" w:tplc="70EA3526">
      <w:start w:val="6571"/>
      <w:numFmt w:val="bullet"/>
      <w:lvlText w:val="–"/>
      <w:lvlJc w:val="left"/>
      <w:pPr>
        <w:tabs>
          <w:tab w:val="num" w:pos="1080"/>
        </w:tabs>
        <w:ind w:left="1080" w:hanging="360"/>
      </w:pPr>
      <w:rPr>
        <w:rFonts w:ascii="Arial" w:hAnsi="Arial" w:hint="default"/>
      </w:rPr>
    </w:lvl>
    <w:lvl w:ilvl="2" w:tplc="42D2F71A">
      <w:start w:val="6571"/>
      <w:numFmt w:val="bullet"/>
      <w:lvlText w:val="•"/>
      <w:lvlJc w:val="left"/>
      <w:pPr>
        <w:tabs>
          <w:tab w:val="num" w:pos="1800"/>
        </w:tabs>
        <w:ind w:left="1800" w:hanging="360"/>
      </w:pPr>
      <w:rPr>
        <w:rFonts w:ascii="Arial" w:hAnsi="Arial" w:hint="default"/>
      </w:rPr>
    </w:lvl>
    <w:lvl w:ilvl="3" w:tplc="20A23D0E" w:tentative="1">
      <w:start w:val="1"/>
      <w:numFmt w:val="bullet"/>
      <w:lvlText w:val="•"/>
      <w:lvlJc w:val="left"/>
      <w:pPr>
        <w:tabs>
          <w:tab w:val="num" w:pos="2520"/>
        </w:tabs>
        <w:ind w:left="2520" w:hanging="360"/>
      </w:pPr>
      <w:rPr>
        <w:rFonts w:ascii="Arial" w:hAnsi="Arial" w:hint="default"/>
      </w:rPr>
    </w:lvl>
    <w:lvl w:ilvl="4" w:tplc="8D769288" w:tentative="1">
      <w:start w:val="1"/>
      <w:numFmt w:val="bullet"/>
      <w:lvlText w:val="•"/>
      <w:lvlJc w:val="left"/>
      <w:pPr>
        <w:tabs>
          <w:tab w:val="num" w:pos="3240"/>
        </w:tabs>
        <w:ind w:left="3240" w:hanging="360"/>
      </w:pPr>
      <w:rPr>
        <w:rFonts w:ascii="Arial" w:hAnsi="Arial" w:hint="default"/>
      </w:rPr>
    </w:lvl>
    <w:lvl w:ilvl="5" w:tplc="FFE494E0" w:tentative="1">
      <w:start w:val="1"/>
      <w:numFmt w:val="bullet"/>
      <w:lvlText w:val="•"/>
      <w:lvlJc w:val="left"/>
      <w:pPr>
        <w:tabs>
          <w:tab w:val="num" w:pos="3960"/>
        </w:tabs>
        <w:ind w:left="3960" w:hanging="360"/>
      </w:pPr>
      <w:rPr>
        <w:rFonts w:ascii="Arial" w:hAnsi="Arial" w:hint="default"/>
      </w:rPr>
    </w:lvl>
    <w:lvl w:ilvl="6" w:tplc="FCD6541A" w:tentative="1">
      <w:start w:val="1"/>
      <w:numFmt w:val="bullet"/>
      <w:lvlText w:val="•"/>
      <w:lvlJc w:val="left"/>
      <w:pPr>
        <w:tabs>
          <w:tab w:val="num" w:pos="4680"/>
        </w:tabs>
        <w:ind w:left="4680" w:hanging="360"/>
      </w:pPr>
      <w:rPr>
        <w:rFonts w:ascii="Arial" w:hAnsi="Arial" w:hint="default"/>
      </w:rPr>
    </w:lvl>
    <w:lvl w:ilvl="7" w:tplc="EEFCD246" w:tentative="1">
      <w:start w:val="1"/>
      <w:numFmt w:val="bullet"/>
      <w:lvlText w:val="•"/>
      <w:lvlJc w:val="left"/>
      <w:pPr>
        <w:tabs>
          <w:tab w:val="num" w:pos="5400"/>
        </w:tabs>
        <w:ind w:left="5400" w:hanging="360"/>
      </w:pPr>
      <w:rPr>
        <w:rFonts w:ascii="Arial" w:hAnsi="Arial" w:hint="default"/>
      </w:rPr>
    </w:lvl>
    <w:lvl w:ilvl="8" w:tplc="81C6E912" w:tentative="1">
      <w:start w:val="1"/>
      <w:numFmt w:val="bullet"/>
      <w:lvlText w:val="•"/>
      <w:lvlJc w:val="left"/>
      <w:pPr>
        <w:tabs>
          <w:tab w:val="num" w:pos="6120"/>
        </w:tabs>
        <w:ind w:left="6120" w:hanging="360"/>
      </w:pPr>
      <w:rPr>
        <w:rFonts w:ascii="Arial" w:hAnsi="Arial" w:hint="default"/>
      </w:rPr>
    </w:lvl>
  </w:abstractNum>
  <w:abstractNum w:abstractNumId="4" w15:restartNumberingAfterBreak="0">
    <w:nsid w:val="28EF0ECF"/>
    <w:multiLevelType w:val="hybridMultilevel"/>
    <w:tmpl w:val="BD249594"/>
    <w:lvl w:ilvl="0" w:tplc="B944EB80">
      <w:start w:val="1"/>
      <w:numFmt w:val="bullet"/>
      <w:lvlText w:val="•"/>
      <w:lvlJc w:val="left"/>
      <w:pPr>
        <w:tabs>
          <w:tab w:val="num" w:pos="360"/>
        </w:tabs>
        <w:ind w:left="360" w:hanging="360"/>
      </w:pPr>
      <w:rPr>
        <w:rFonts w:ascii="Arial" w:hAnsi="Arial" w:hint="default"/>
      </w:rPr>
    </w:lvl>
    <w:lvl w:ilvl="1" w:tplc="0C0ED992">
      <w:start w:val="37"/>
      <w:numFmt w:val="bullet"/>
      <w:lvlText w:val="–"/>
      <w:lvlJc w:val="left"/>
      <w:pPr>
        <w:tabs>
          <w:tab w:val="num" w:pos="1080"/>
        </w:tabs>
        <w:ind w:left="1080" w:hanging="360"/>
      </w:pPr>
      <w:rPr>
        <w:rFonts w:ascii="Arial" w:hAnsi="Arial" w:hint="default"/>
      </w:rPr>
    </w:lvl>
    <w:lvl w:ilvl="2" w:tplc="774AAE38" w:tentative="1">
      <w:start w:val="1"/>
      <w:numFmt w:val="bullet"/>
      <w:lvlText w:val="•"/>
      <w:lvlJc w:val="left"/>
      <w:pPr>
        <w:tabs>
          <w:tab w:val="num" w:pos="1800"/>
        </w:tabs>
        <w:ind w:left="1800" w:hanging="360"/>
      </w:pPr>
      <w:rPr>
        <w:rFonts w:ascii="Arial" w:hAnsi="Arial" w:hint="default"/>
      </w:rPr>
    </w:lvl>
    <w:lvl w:ilvl="3" w:tplc="176ABFF4" w:tentative="1">
      <w:start w:val="1"/>
      <w:numFmt w:val="bullet"/>
      <w:lvlText w:val="•"/>
      <w:lvlJc w:val="left"/>
      <w:pPr>
        <w:tabs>
          <w:tab w:val="num" w:pos="2520"/>
        </w:tabs>
        <w:ind w:left="2520" w:hanging="360"/>
      </w:pPr>
      <w:rPr>
        <w:rFonts w:ascii="Arial" w:hAnsi="Arial" w:hint="default"/>
      </w:rPr>
    </w:lvl>
    <w:lvl w:ilvl="4" w:tplc="A2DEB1B6" w:tentative="1">
      <w:start w:val="1"/>
      <w:numFmt w:val="bullet"/>
      <w:lvlText w:val="•"/>
      <w:lvlJc w:val="left"/>
      <w:pPr>
        <w:tabs>
          <w:tab w:val="num" w:pos="3240"/>
        </w:tabs>
        <w:ind w:left="3240" w:hanging="360"/>
      </w:pPr>
      <w:rPr>
        <w:rFonts w:ascii="Arial" w:hAnsi="Arial" w:hint="default"/>
      </w:rPr>
    </w:lvl>
    <w:lvl w:ilvl="5" w:tplc="1AF0D1A0" w:tentative="1">
      <w:start w:val="1"/>
      <w:numFmt w:val="bullet"/>
      <w:lvlText w:val="•"/>
      <w:lvlJc w:val="left"/>
      <w:pPr>
        <w:tabs>
          <w:tab w:val="num" w:pos="3960"/>
        </w:tabs>
        <w:ind w:left="3960" w:hanging="360"/>
      </w:pPr>
      <w:rPr>
        <w:rFonts w:ascii="Arial" w:hAnsi="Arial" w:hint="default"/>
      </w:rPr>
    </w:lvl>
    <w:lvl w:ilvl="6" w:tplc="9F36785A" w:tentative="1">
      <w:start w:val="1"/>
      <w:numFmt w:val="bullet"/>
      <w:lvlText w:val="•"/>
      <w:lvlJc w:val="left"/>
      <w:pPr>
        <w:tabs>
          <w:tab w:val="num" w:pos="4680"/>
        </w:tabs>
        <w:ind w:left="4680" w:hanging="360"/>
      </w:pPr>
      <w:rPr>
        <w:rFonts w:ascii="Arial" w:hAnsi="Arial" w:hint="default"/>
      </w:rPr>
    </w:lvl>
    <w:lvl w:ilvl="7" w:tplc="9B12A91C" w:tentative="1">
      <w:start w:val="1"/>
      <w:numFmt w:val="bullet"/>
      <w:lvlText w:val="•"/>
      <w:lvlJc w:val="left"/>
      <w:pPr>
        <w:tabs>
          <w:tab w:val="num" w:pos="5400"/>
        </w:tabs>
        <w:ind w:left="5400" w:hanging="360"/>
      </w:pPr>
      <w:rPr>
        <w:rFonts w:ascii="Arial" w:hAnsi="Arial" w:hint="default"/>
      </w:rPr>
    </w:lvl>
    <w:lvl w:ilvl="8" w:tplc="2064DCF2" w:tentative="1">
      <w:start w:val="1"/>
      <w:numFmt w:val="bullet"/>
      <w:lvlText w:val="•"/>
      <w:lvlJc w:val="left"/>
      <w:pPr>
        <w:tabs>
          <w:tab w:val="num" w:pos="6120"/>
        </w:tabs>
        <w:ind w:left="6120" w:hanging="360"/>
      </w:pPr>
      <w:rPr>
        <w:rFonts w:ascii="Arial" w:hAnsi="Arial" w:hint="default"/>
      </w:rPr>
    </w:lvl>
  </w:abstractNum>
  <w:abstractNum w:abstractNumId="5" w15:restartNumberingAfterBreak="0">
    <w:nsid w:val="2AD14C5B"/>
    <w:multiLevelType w:val="hybridMultilevel"/>
    <w:tmpl w:val="F53A7C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15:restartNumberingAfterBreak="0">
    <w:nsid w:val="3E451FF5"/>
    <w:multiLevelType w:val="hybridMultilevel"/>
    <w:tmpl w:val="3F4CB32C"/>
    <w:lvl w:ilvl="0" w:tplc="2A80CF1A">
      <w:start w:val="1"/>
      <w:numFmt w:val="bullet"/>
      <w:lvlText w:val="•"/>
      <w:lvlJc w:val="left"/>
      <w:pPr>
        <w:tabs>
          <w:tab w:val="num" w:pos="720"/>
        </w:tabs>
        <w:ind w:left="720" w:hanging="360"/>
      </w:pPr>
      <w:rPr>
        <w:rFonts w:ascii="Arial" w:hAnsi="Arial" w:hint="default"/>
      </w:rPr>
    </w:lvl>
    <w:lvl w:ilvl="1" w:tplc="D652B0DE">
      <w:start w:val="1094"/>
      <w:numFmt w:val="bullet"/>
      <w:lvlText w:val="–"/>
      <w:lvlJc w:val="left"/>
      <w:pPr>
        <w:tabs>
          <w:tab w:val="num" w:pos="1440"/>
        </w:tabs>
        <w:ind w:left="1440" w:hanging="360"/>
      </w:pPr>
      <w:rPr>
        <w:rFonts w:ascii="Arial" w:hAnsi="Arial" w:hint="default"/>
      </w:rPr>
    </w:lvl>
    <w:lvl w:ilvl="2" w:tplc="BD8082DC">
      <w:start w:val="1094"/>
      <w:numFmt w:val="bullet"/>
      <w:lvlText w:val="•"/>
      <w:lvlJc w:val="left"/>
      <w:pPr>
        <w:tabs>
          <w:tab w:val="num" w:pos="2160"/>
        </w:tabs>
        <w:ind w:left="2160" w:hanging="360"/>
      </w:pPr>
      <w:rPr>
        <w:rFonts w:ascii="Arial" w:hAnsi="Arial" w:hint="default"/>
      </w:rPr>
    </w:lvl>
    <w:lvl w:ilvl="3" w:tplc="B368126E">
      <w:start w:val="1"/>
      <w:numFmt w:val="bullet"/>
      <w:lvlText w:val="•"/>
      <w:lvlJc w:val="left"/>
      <w:pPr>
        <w:tabs>
          <w:tab w:val="num" w:pos="2880"/>
        </w:tabs>
        <w:ind w:left="2880" w:hanging="360"/>
      </w:pPr>
      <w:rPr>
        <w:rFonts w:ascii="Arial" w:hAnsi="Arial" w:hint="default"/>
      </w:rPr>
    </w:lvl>
    <w:lvl w:ilvl="4" w:tplc="669A8116">
      <w:start w:val="1"/>
      <w:numFmt w:val="bullet"/>
      <w:lvlText w:val="•"/>
      <w:lvlJc w:val="left"/>
      <w:pPr>
        <w:tabs>
          <w:tab w:val="num" w:pos="3600"/>
        </w:tabs>
        <w:ind w:left="3600" w:hanging="360"/>
      </w:pPr>
      <w:rPr>
        <w:rFonts w:ascii="Arial" w:hAnsi="Arial" w:hint="default"/>
      </w:rPr>
    </w:lvl>
    <w:lvl w:ilvl="5" w:tplc="A3C2E284" w:tentative="1">
      <w:start w:val="1"/>
      <w:numFmt w:val="bullet"/>
      <w:lvlText w:val="•"/>
      <w:lvlJc w:val="left"/>
      <w:pPr>
        <w:tabs>
          <w:tab w:val="num" w:pos="4320"/>
        </w:tabs>
        <w:ind w:left="4320" w:hanging="360"/>
      </w:pPr>
      <w:rPr>
        <w:rFonts w:ascii="Arial" w:hAnsi="Arial" w:hint="default"/>
      </w:rPr>
    </w:lvl>
    <w:lvl w:ilvl="6" w:tplc="93E436F6" w:tentative="1">
      <w:start w:val="1"/>
      <w:numFmt w:val="bullet"/>
      <w:lvlText w:val="•"/>
      <w:lvlJc w:val="left"/>
      <w:pPr>
        <w:tabs>
          <w:tab w:val="num" w:pos="5040"/>
        </w:tabs>
        <w:ind w:left="5040" w:hanging="360"/>
      </w:pPr>
      <w:rPr>
        <w:rFonts w:ascii="Arial" w:hAnsi="Arial" w:hint="default"/>
      </w:rPr>
    </w:lvl>
    <w:lvl w:ilvl="7" w:tplc="06E82FB4" w:tentative="1">
      <w:start w:val="1"/>
      <w:numFmt w:val="bullet"/>
      <w:lvlText w:val="•"/>
      <w:lvlJc w:val="left"/>
      <w:pPr>
        <w:tabs>
          <w:tab w:val="num" w:pos="5760"/>
        </w:tabs>
        <w:ind w:left="5760" w:hanging="360"/>
      </w:pPr>
      <w:rPr>
        <w:rFonts w:ascii="Arial" w:hAnsi="Arial" w:hint="default"/>
      </w:rPr>
    </w:lvl>
    <w:lvl w:ilvl="8" w:tplc="82CE94A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4EEB5C39"/>
    <w:multiLevelType w:val="hybridMultilevel"/>
    <w:tmpl w:val="83A27332"/>
    <w:lvl w:ilvl="0" w:tplc="0A305020">
      <w:start w:val="6"/>
      <w:numFmt w:val="bullet"/>
      <w:lvlText w:val="-"/>
      <w:lvlJc w:val="left"/>
      <w:pPr>
        <w:ind w:left="720" w:hanging="360"/>
      </w:pPr>
      <w:rPr>
        <w:rFonts w:ascii="Times New Roman" w:eastAsia="SimSu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 w15:restartNumberingAfterBreak="0">
    <w:nsid w:val="521666C1"/>
    <w:multiLevelType w:val="hybridMultilevel"/>
    <w:tmpl w:val="A5E010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601321C"/>
    <w:multiLevelType w:val="hybridMultilevel"/>
    <w:tmpl w:val="0DAAA1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86727C"/>
    <w:multiLevelType w:val="hybridMultilevel"/>
    <w:tmpl w:val="33BE4ACC"/>
    <w:lvl w:ilvl="0" w:tplc="01B01E00">
      <w:start w:val="1"/>
      <w:numFmt w:val="bullet"/>
      <w:lvlText w:val="•"/>
      <w:lvlJc w:val="left"/>
      <w:pPr>
        <w:ind w:left="420" w:hanging="420"/>
      </w:pPr>
      <w:rPr>
        <w:rFonts w:ascii="Times New Roman" w:hAnsi="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60416FD2"/>
    <w:multiLevelType w:val="hybridMultilevel"/>
    <w:tmpl w:val="4F8649C6"/>
    <w:lvl w:ilvl="0" w:tplc="88548990">
      <w:start w:val="1"/>
      <w:numFmt w:val="bullet"/>
      <w:lvlText w:val="•"/>
      <w:lvlJc w:val="left"/>
      <w:pPr>
        <w:tabs>
          <w:tab w:val="num" w:pos="720"/>
        </w:tabs>
        <w:ind w:left="720" w:hanging="360"/>
      </w:pPr>
      <w:rPr>
        <w:rFonts w:ascii="Arial" w:hAnsi="Arial" w:hint="default"/>
      </w:rPr>
    </w:lvl>
    <w:lvl w:ilvl="1" w:tplc="E6783ED8">
      <w:start w:val="1204"/>
      <w:numFmt w:val="bullet"/>
      <w:lvlText w:val="•"/>
      <w:lvlJc w:val="left"/>
      <w:pPr>
        <w:tabs>
          <w:tab w:val="num" w:pos="1440"/>
        </w:tabs>
        <w:ind w:left="1440" w:hanging="360"/>
      </w:pPr>
      <w:rPr>
        <w:rFonts w:ascii="Arial" w:hAnsi="Arial" w:hint="default"/>
      </w:rPr>
    </w:lvl>
    <w:lvl w:ilvl="2" w:tplc="36526416" w:tentative="1">
      <w:start w:val="1"/>
      <w:numFmt w:val="bullet"/>
      <w:lvlText w:val="•"/>
      <w:lvlJc w:val="left"/>
      <w:pPr>
        <w:tabs>
          <w:tab w:val="num" w:pos="2160"/>
        </w:tabs>
        <w:ind w:left="2160" w:hanging="360"/>
      </w:pPr>
      <w:rPr>
        <w:rFonts w:ascii="Arial" w:hAnsi="Arial" w:hint="default"/>
      </w:rPr>
    </w:lvl>
    <w:lvl w:ilvl="3" w:tplc="39B2DF0E" w:tentative="1">
      <w:start w:val="1"/>
      <w:numFmt w:val="bullet"/>
      <w:lvlText w:val="•"/>
      <w:lvlJc w:val="left"/>
      <w:pPr>
        <w:tabs>
          <w:tab w:val="num" w:pos="2880"/>
        </w:tabs>
        <w:ind w:left="2880" w:hanging="360"/>
      </w:pPr>
      <w:rPr>
        <w:rFonts w:ascii="Arial" w:hAnsi="Arial" w:hint="default"/>
      </w:rPr>
    </w:lvl>
    <w:lvl w:ilvl="4" w:tplc="A25664B2" w:tentative="1">
      <w:start w:val="1"/>
      <w:numFmt w:val="bullet"/>
      <w:lvlText w:val="•"/>
      <w:lvlJc w:val="left"/>
      <w:pPr>
        <w:tabs>
          <w:tab w:val="num" w:pos="3600"/>
        </w:tabs>
        <w:ind w:left="3600" w:hanging="360"/>
      </w:pPr>
      <w:rPr>
        <w:rFonts w:ascii="Arial" w:hAnsi="Arial" w:hint="default"/>
      </w:rPr>
    </w:lvl>
    <w:lvl w:ilvl="5" w:tplc="630C51BA" w:tentative="1">
      <w:start w:val="1"/>
      <w:numFmt w:val="bullet"/>
      <w:lvlText w:val="•"/>
      <w:lvlJc w:val="left"/>
      <w:pPr>
        <w:tabs>
          <w:tab w:val="num" w:pos="4320"/>
        </w:tabs>
        <w:ind w:left="4320" w:hanging="360"/>
      </w:pPr>
      <w:rPr>
        <w:rFonts w:ascii="Arial" w:hAnsi="Arial" w:hint="default"/>
      </w:rPr>
    </w:lvl>
    <w:lvl w:ilvl="6" w:tplc="E7380FFC" w:tentative="1">
      <w:start w:val="1"/>
      <w:numFmt w:val="bullet"/>
      <w:lvlText w:val="•"/>
      <w:lvlJc w:val="left"/>
      <w:pPr>
        <w:tabs>
          <w:tab w:val="num" w:pos="5040"/>
        </w:tabs>
        <w:ind w:left="5040" w:hanging="360"/>
      </w:pPr>
      <w:rPr>
        <w:rFonts w:ascii="Arial" w:hAnsi="Arial" w:hint="default"/>
      </w:rPr>
    </w:lvl>
    <w:lvl w:ilvl="7" w:tplc="848C9812" w:tentative="1">
      <w:start w:val="1"/>
      <w:numFmt w:val="bullet"/>
      <w:lvlText w:val="•"/>
      <w:lvlJc w:val="left"/>
      <w:pPr>
        <w:tabs>
          <w:tab w:val="num" w:pos="5760"/>
        </w:tabs>
        <w:ind w:left="5760" w:hanging="360"/>
      </w:pPr>
      <w:rPr>
        <w:rFonts w:ascii="Arial" w:hAnsi="Arial" w:hint="default"/>
      </w:rPr>
    </w:lvl>
    <w:lvl w:ilvl="8" w:tplc="7CFA2028"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648A53BC"/>
    <w:multiLevelType w:val="hybridMultilevel"/>
    <w:tmpl w:val="55D2D94A"/>
    <w:lvl w:ilvl="0" w:tplc="0A305020">
      <w:start w:val="6"/>
      <w:numFmt w:val="bullet"/>
      <w:lvlText w:val="-"/>
      <w:lvlJc w:val="left"/>
      <w:pPr>
        <w:ind w:left="720" w:hanging="360"/>
      </w:pPr>
      <w:rPr>
        <w:rFonts w:ascii="Times New Roman" w:eastAsia="SimSu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4" w15:restartNumberingAfterBreak="0">
    <w:nsid w:val="700B3605"/>
    <w:multiLevelType w:val="hybridMultilevel"/>
    <w:tmpl w:val="58B44F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FA829A2"/>
    <w:multiLevelType w:val="hybridMultilevel"/>
    <w:tmpl w:val="CD50F4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12"/>
  </w:num>
  <w:num w:numId="3">
    <w:abstractNumId w:val="0"/>
  </w:num>
  <w:num w:numId="4">
    <w:abstractNumId w:val="7"/>
  </w:num>
  <w:num w:numId="5">
    <w:abstractNumId w:val="1"/>
  </w:num>
  <w:num w:numId="6">
    <w:abstractNumId w:val="2"/>
  </w:num>
  <w:num w:numId="7">
    <w:abstractNumId w:val="14"/>
  </w:num>
  <w:num w:numId="8">
    <w:abstractNumId w:val="10"/>
  </w:num>
  <w:num w:numId="9">
    <w:abstractNumId w:val="9"/>
  </w:num>
  <w:num w:numId="10">
    <w:abstractNumId w:val="5"/>
  </w:num>
  <w:num w:numId="11">
    <w:abstractNumId w:val="15"/>
  </w:num>
  <w:num w:numId="12">
    <w:abstractNumId w:val="3"/>
  </w:num>
  <w:num w:numId="13">
    <w:abstractNumId w:val="13"/>
  </w:num>
  <w:num w:numId="14">
    <w:abstractNumId w:val="8"/>
  </w:num>
  <w:num w:numId="15">
    <w:abstractNumId w:val="11"/>
  </w:num>
  <w:num w:numId="16">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printFractionalCharacterWidth/>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ctiveWritingStyle w:appName="MSWord" w:lang="de-DE"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1C4"/>
    <w:rsid w:val="0000159F"/>
    <w:rsid w:val="00001D6D"/>
    <w:rsid w:val="00004AC8"/>
    <w:rsid w:val="00006055"/>
    <w:rsid w:val="00006AD4"/>
    <w:rsid w:val="000074C4"/>
    <w:rsid w:val="000079A6"/>
    <w:rsid w:val="00011BB2"/>
    <w:rsid w:val="00012505"/>
    <w:rsid w:val="00012C4F"/>
    <w:rsid w:val="000131D1"/>
    <w:rsid w:val="00013455"/>
    <w:rsid w:val="000134E3"/>
    <w:rsid w:val="00013632"/>
    <w:rsid w:val="00013F5E"/>
    <w:rsid w:val="0001403F"/>
    <w:rsid w:val="0001487F"/>
    <w:rsid w:val="00014F35"/>
    <w:rsid w:val="00015F98"/>
    <w:rsid w:val="000166AC"/>
    <w:rsid w:val="00017B7F"/>
    <w:rsid w:val="00017EDA"/>
    <w:rsid w:val="00023742"/>
    <w:rsid w:val="00024AEF"/>
    <w:rsid w:val="00026C65"/>
    <w:rsid w:val="00027755"/>
    <w:rsid w:val="00030048"/>
    <w:rsid w:val="0003072D"/>
    <w:rsid w:val="000314CD"/>
    <w:rsid w:val="00033544"/>
    <w:rsid w:val="0003479E"/>
    <w:rsid w:val="00035691"/>
    <w:rsid w:val="0003767C"/>
    <w:rsid w:val="0004132D"/>
    <w:rsid w:val="00044CFA"/>
    <w:rsid w:val="000459C7"/>
    <w:rsid w:val="00046630"/>
    <w:rsid w:val="00046C80"/>
    <w:rsid w:val="00050112"/>
    <w:rsid w:val="00050466"/>
    <w:rsid w:val="000505CC"/>
    <w:rsid w:val="000511F9"/>
    <w:rsid w:val="00051B32"/>
    <w:rsid w:val="0005230E"/>
    <w:rsid w:val="00052850"/>
    <w:rsid w:val="000528A2"/>
    <w:rsid w:val="00052BBA"/>
    <w:rsid w:val="00054D9D"/>
    <w:rsid w:val="00055676"/>
    <w:rsid w:val="00056544"/>
    <w:rsid w:val="00060D8E"/>
    <w:rsid w:val="00062159"/>
    <w:rsid w:val="00063D9E"/>
    <w:rsid w:val="00064AD3"/>
    <w:rsid w:val="00065088"/>
    <w:rsid w:val="000652D3"/>
    <w:rsid w:val="000654A0"/>
    <w:rsid w:val="00065F43"/>
    <w:rsid w:val="000707CA"/>
    <w:rsid w:val="000719BF"/>
    <w:rsid w:val="0007208A"/>
    <w:rsid w:val="00072BBA"/>
    <w:rsid w:val="00072FF5"/>
    <w:rsid w:val="00075FDA"/>
    <w:rsid w:val="00076386"/>
    <w:rsid w:val="00076D82"/>
    <w:rsid w:val="00081EC2"/>
    <w:rsid w:val="00083800"/>
    <w:rsid w:val="00084A65"/>
    <w:rsid w:val="000902C2"/>
    <w:rsid w:val="00091A92"/>
    <w:rsid w:val="00093C49"/>
    <w:rsid w:val="00095A80"/>
    <w:rsid w:val="000973E1"/>
    <w:rsid w:val="000A1402"/>
    <w:rsid w:val="000A20BA"/>
    <w:rsid w:val="000A262C"/>
    <w:rsid w:val="000A3C8D"/>
    <w:rsid w:val="000A40EC"/>
    <w:rsid w:val="000A54EE"/>
    <w:rsid w:val="000A6A23"/>
    <w:rsid w:val="000A7BC5"/>
    <w:rsid w:val="000B0C45"/>
    <w:rsid w:val="000B16DB"/>
    <w:rsid w:val="000B1C5E"/>
    <w:rsid w:val="000B2282"/>
    <w:rsid w:val="000B2A11"/>
    <w:rsid w:val="000B2A5B"/>
    <w:rsid w:val="000B3B91"/>
    <w:rsid w:val="000B5AC9"/>
    <w:rsid w:val="000B5F0A"/>
    <w:rsid w:val="000C1D59"/>
    <w:rsid w:val="000C30CF"/>
    <w:rsid w:val="000C501D"/>
    <w:rsid w:val="000C74BA"/>
    <w:rsid w:val="000C7531"/>
    <w:rsid w:val="000C7C3F"/>
    <w:rsid w:val="000D0BD6"/>
    <w:rsid w:val="000D0C61"/>
    <w:rsid w:val="000D27AD"/>
    <w:rsid w:val="000D2987"/>
    <w:rsid w:val="000D29D1"/>
    <w:rsid w:val="000D2B0A"/>
    <w:rsid w:val="000D3286"/>
    <w:rsid w:val="000D344D"/>
    <w:rsid w:val="000D40E7"/>
    <w:rsid w:val="000D584F"/>
    <w:rsid w:val="000E071E"/>
    <w:rsid w:val="000E181D"/>
    <w:rsid w:val="000E27AA"/>
    <w:rsid w:val="000E337A"/>
    <w:rsid w:val="000E4350"/>
    <w:rsid w:val="000E4408"/>
    <w:rsid w:val="000E5716"/>
    <w:rsid w:val="000E7A79"/>
    <w:rsid w:val="000F15B2"/>
    <w:rsid w:val="000F19DE"/>
    <w:rsid w:val="000F2E1F"/>
    <w:rsid w:val="000F37B0"/>
    <w:rsid w:val="000F4595"/>
    <w:rsid w:val="000F4CB2"/>
    <w:rsid w:val="000F4E44"/>
    <w:rsid w:val="000F568D"/>
    <w:rsid w:val="000F6B15"/>
    <w:rsid w:val="00100250"/>
    <w:rsid w:val="00101C4F"/>
    <w:rsid w:val="00102C9F"/>
    <w:rsid w:val="001068D2"/>
    <w:rsid w:val="001103BD"/>
    <w:rsid w:val="00111208"/>
    <w:rsid w:val="00111808"/>
    <w:rsid w:val="001131B4"/>
    <w:rsid w:val="0011339F"/>
    <w:rsid w:val="00113B8F"/>
    <w:rsid w:val="00113EC8"/>
    <w:rsid w:val="00114E96"/>
    <w:rsid w:val="0011644A"/>
    <w:rsid w:val="00117332"/>
    <w:rsid w:val="001204DD"/>
    <w:rsid w:val="00122839"/>
    <w:rsid w:val="001237AC"/>
    <w:rsid w:val="00124E12"/>
    <w:rsid w:val="0012673D"/>
    <w:rsid w:val="001269B8"/>
    <w:rsid w:val="00127099"/>
    <w:rsid w:val="00132830"/>
    <w:rsid w:val="00132B71"/>
    <w:rsid w:val="0013427A"/>
    <w:rsid w:val="001362C2"/>
    <w:rsid w:val="00136955"/>
    <w:rsid w:val="00136E19"/>
    <w:rsid w:val="001371B2"/>
    <w:rsid w:val="00137D78"/>
    <w:rsid w:val="001409A0"/>
    <w:rsid w:val="00141F08"/>
    <w:rsid w:val="00141FF2"/>
    <w:rsid w:val="0014287A"/>
    <w:rsid w:val="00142DE2"/>
    <w:rsid w:val="00144C87"/>
    <w:rsid w:val="001467B1"/>
    <w:rsid w:val="00150175"/>
    <w:rsid w:val="001502C8"/>
    <w:rsid w:val="0015130F"/>
    <w:rsid w:val="00155BFD"/>
    <w:rsid w:val="00157390"/>
    <w:rsid w:val="00160998"/>
    <w:rsid w:val="00160CD6"/>
    <w:rsid w:val="00162308"/>
    <w:rsid w:val="0016316A"/>
    <w:rsid w:val="00164171"/>
    <w:rsid w:val="00164E58"/>
    <w:rsid w:val="00165033"/>
    <w:rsid w:val="001670EA"/>
    <w:rsid w:val="001674A0"/>
    <w:rsid w:val="00170A50"/>
    <w:rsid w:val="00174FFD"/>
    <w:rsid w:val="001759CA"/>
    <w:rsid w:val="0017726A"/>
    <w:rsid w:val="00177DD3"/>
    <w:rsid w:val="00180278"/>
    <w:rsid w:val="001818A7"/>
    <w:rsid w:val="00182725"/>
    <w:rsid w:val="001829C8"/>
    <w:rsid w:val="00186904"/>
    <w:rsid w:val="00186B0A"/>
    <w:rsid w:val="001905BD"/>
    <w:rsid w:val="00192FE6"/>
    <w:rsid w:val="0019360B"/>
    <w:rsid w:val="00193986"/>
    <w:rsid w:val="00193B08"/>
    <w:rsid w:val="00194570"/>
    <w:rsid w:val="00194DE4"/>
    <w:rsid w:val="00196BF4"/>
    <w:rsid w:val="001972DA"/>
    <w:rsid w:val="001976AA"/>
    <w:rsid w:val="001A02F6"/>
    <w:rsid w:val="001A15C6"/>
    <w:rsid w:val="001A5E19"/>
    <w:rsid w:val="001B01FA"/>
    <w:rsid w:val="001B0832"/>
    <w:rsid w:val="001B18A7"/>
    <w:rsid w:val="001B2762"/>
    <w:rsid w:val="001B36FC"/>
    <w:rsid w:val="001B41ED"/>
    <w:rsid w:val="001B4607"/>
    <w:rsid w:val="001B7E0C"/>
    <w:rsid w:val="001C0674"/>
    <w:rsid w:val="001C226F"/>
    <w:rsid w:val="001C66AC"/>
    <w:rsid w:val="001C6754"/>
    <w:rsid w:val="001C77F0"/>
    <w:rsid w:val="001D30C9"/>
    <w:rsid w:val="001D46A0"/>
    <w:rsid w:val="001D50C2"/>
    <w:rsid w:val="001D7CA4"/>
    <w:rsid w:val="001D7E58"/>
    <w:rsid w:val="001E1417"/>
    <w:rsid w:val="001E30A0"/>
    <w:rsid w:val="001E4D4F"/>
    <w:rsid w:val="001E57CF"/>
    <w:rsid w:val="001E5981"/>
    <w:rsid w:val="001E6826"/>
    <w:rsid w:val="001E74BA"/>
    <w:rsid w:val="001E7B9F"/>
    <w:rsid w:val="001F01FB"/>
    <w:rsid w:val="001F0658"/>
    <w:rsid w:val="001F0E92"/>
    <w:rsid w:val="001F1987"/>
    <w:rsid w:val="001F23BD"/>
    <w:rsid w:val="001F34DA"/>
    <w:rsid w:val="001F4DAC"/>
    <w:rsid w:val="001F5019"/>
    <w:rsid w:val="001F67AA"/>
    <w:rsid w:val="001F7599"/>
    <w:rsid w:val="00204B3A"/>
    <w:rsid w:val="0020535A"/>
    <w:rsid w:val="002055CB"/>
    <w:rsid w:val="00206955"/>
    <w:rsid w:val="00210309"/>
    <w:rsid w:val="00212FB8"/>
    <w:rsid w:val="00213709"/>
    <w:rsid w:val="002149AF"/>
    <w:rsid w:val="00214A86"/>
    <w:rsid w:val="00215AAA"/>
    <w:rsid w:val="0021683C"/>
    <w:rsid w:val="00221985"/>
    <w:rsid w:val="00221EC5"/>
    <w:rsid w:val="00222A7A"/>
    <w:rsid w:val="00224A2C"/>
    <w:rsid w:val="002256D9"/>
    <w:rsid w:val="00226577"/>
    <w:rsid w:val="0022687C"/>
    <w:rsid w:val="002306F8"/>
    <w:rsid w:val="002312F4"/>
    <w:rsid w:val="002313A2"/>
    <w:rsid w:val="00231FC7"/>
    <w:rsid w:val="00232930"/>
    <w:rsid w:val="00232A95"/>
    <w:rsid w:val="00232DD9"/>
    <w:rsid w:val="00233403"/>
    <w:rsid w:val="00233440"/>
    <w:rsid w:val="00233D0E"/>
    <w:rsid w:val="00236450"/>
    <w:rsid w:val="0023765A"/>
    <w:rsid w:val="00237921"/>
    <w:rsid w:val="00241311"/>
    <w:rsid w:val="00242E22"/>
    <w:rsid w:val="0024336B"/>
    <w:rsid w:val="0024424F"/>
    <w:rsid w:val="00244D28"/>
    <w:rsid w:val="002456F4"/>
    <w:rsid w:val="00245720"/>
    <w:rsid w:val="00245A6F"/>
    <w:rsid w:val="00245CEE"/>
    <w:rsid w:val="00245FD5"/>
    <w:rsid w:val="002477DF"/>
    <w:rsid w:val="00247FCE"/>
    <w:rsid w:val="00251AD6"/>
    <w:rsid w:val="00252C17"/>
    <w:rsid w:val="0025307F"/>
    <w:rsid w:val="002551BD"/>
    <w:rsid w:val="002568D0"/>
    <w:rsid w:val="00262661"/>
    <w:rsid w:val="002632DF"/>
    <w:rsid w:val="002640BA"/>
    <w:rsid w:val="00264CF2"/>
    <w:rsid w:val="00267587"/>
    <w:rsid w:val="002675C8"/>
    <w:rsid w:val="00271589"/>
    <w:rsid w:val="00273177"/>
    <w:rsid w:val="00275074"/>
    <w:rsid w:val="002763E9"/>
    <w:rsid w:val="00276736"/>
    <w:rsid w:val="00284E32"/>
    <w:rsid w:val="002851EB"/>
    <w:rsid w:val="00285510"/>
    <w:rsid w:val="00285DE2"/>
    <w:rsid w:val="0028616D"/>
    <w:rsid w:val="00286965"/>
    <w:rsid w:val="0029136E"/>
    <w:rsid w:val="00292399"/>
    <w:rsid w:val="00294445"/>
    <w:rsid w:val="00294B4D"/>
    <w:rsid w:val="002960D5"/>
    <w:rsid w:val="002A1062"/>
    <w:rsid w:val="002A2012"/>
    <w:rsid w:val="002A2413"/>
    <w:rsid w:val="002A2F5E"/>
    <w:rsid w:val="002A352A"/>
    <w:rsid w:val="002A607D"/>
    <w:rsid w:val="002B132E"/>
    <w:rsid w:val="002B2813"/>
    <w:rsid w:val="002B2D29"/>
    <w:rsid w:val="002C0C4B"/>
    <w:rsid w:val="002C1EEA"/>
    <w:rsid w:val="002C47AD"/>
    <w:rsid w:val="002C6034"/>
    <w:rsid w:val="002C635B"/>
    <w:rsid w:val="002C7CFF"/>
    <w:rsid w:val="002D0BC6"/>
    <w:rsid w:val="002D17C5"/>
    <w:rsid w:val="002D365F"/>
    <w:rsid w:val="002D68C2"/>
    <w:rsid w:val="002D7C86"/>
    <w:rsid w:val="002E0692"/>
    <w:rsid w:val="002E1D74"/>
    <w:rsid w:val="002E2943"/>
    <w:rsid w:val="002E2CF1"/>
    <w:rsid w:val="002E34AF"/>
    <w:rsid w:val="002E4AAC"/>
    <w:rsid w:val="002E53DE"/>
    <w:rsid w:val="002E563B"/>
    <w:rsid w:val="002E62D2"/>
    <w:rsid w:val="002E74AF"/>
    <w:rsid w:val="002E758C"/>
    <w:rsid w:val="002F1038"/>
    <w:rsid w:val="002F22FF"/>
    <w:rsid w:val="002F2D8F"/>
    <w:rsid w:val="002F695B"/>
    <w:rsid w:val="002F72DA"/>
    <w:rsid w:val="002F76B1"/>
    <w:rsid w:val="002F7D66"/>
    <w:rsid w:val="002F7DBE"/>
    <w:rsid w:val="0030090B"/>
    <w:rsid w:val="00302AE8"/>
    <w:rsid w:val="00302BB1"/>
    <w:rsid w:val="0030404B"/>
    <w:rsid w:val="00304210"/>
    <w:rsid w:val="003048D7"/>
    <w:rsid w:val="00304A1B"/>
    <w:rsid w:val="00304AD2"/>
    <w:rsid w:val="003052D4"/>
    <w:rsid w:val="003062E6"/>
    <w:rsid w:val="003068B6"/>
    <w:rsid w:val="003071F6"/>
    <w:rsid w:val="00307FE0"/>
    <w:rsid w:val="00311C08"/>
    <w:rsid w:val="00312ECE"/>
    <w:rsid w:val="0031393C"/>
    <w:rsid w:val="00313CB0"/>
    <w:rsid w:val="00313F96"/>
    <w:rsid w:val="003150CE"/>
    <w:rsid w:val="00315AAB"/>
    <w:rsid w:val="003175E1"/>
    <w:rsid w:val="00320299"/>
    <w:rsid w:val="00320E8B"/>
    <w:rsid w:val="00321154"/>
    <w:rsid w:val="003211B0"/>
    <w:rsid w:val="00321EDA"/>
    <w:rsid w:val="003224AA"/>
    <w:rsid w:val="003224E7"/>
    <w:rsid w:val="00325D7A"/>
    <w:rsid w:val="00326145"/>
    <w:rsid w:val="00327163"/>
    <w:rsid w:val="00327305"/>
    <w:rsid w:val="00327531"/>
    <w:rsid w:val="00330187"/>
    <w:rsid w:val="00331C77"/>
    <w:rsid w:val="00331DB6"/>
    <w:rsid w:val="00331F96"/>
    <w:rsid w:val="00332B55"/>
    <w:rsid w:val="00335EA8"/>
    <w:rsid w:val="003363DD"/>
    <w:rsid w:val="00340361"/>
    <w:rsid w:val="00340795"/>
    <w:rsid w:val="0034111C"/>
    <w:rsid w:val="00341E60"/>
    <w:rsid w:val="0034217F"/>
    <w:rsid w:val="00342AD2"/>
    <w:rsid w:val="00343954"/>
    <w:rsid w:val="00345405"/>
    <w:rsid w:val="00345DDD"/>
    <w:rsid w:val="00346FED"/>
    <w:rsid w:val="00351E01"/>
    <w:rsid w:val="00352D21"/>
    <w:rsid w:val="0035443D"/>
    <w:rsid w:val="00354FEE"/>
    <w:rsid w:val="00356275"/>
    <w:rsid w:val="00356C0B"/>
    <w:rsid w:val="00357B9C"/>
    <w:rsid w:val="00361412"/>
    <w:rsid w:val="003615CA"/>
    <w:rsid w:val="00363BAC"/>
    <w:rsid w:val="003642A6"/>
    <w:rsid w:val="00364763"/>
    <w:rsid w:val="00367337"/>
    <w:rsid w:val="00367367"/>
    <w:rsid w:val="00367FD8"/>
    <w:rsid w:val="00370B63"/>
    <w:rsid w:val="00370FCC"/>
    <w:rsid w:val="003711AF"/>
    <w:rsid w:val="003735C6"/>
    <w:rsid w:val="00374848"/>
    <w:rsid w:val="003757A1"/>
    <w:rsid w:val="00375D09"/>
    <w:rsid w:val="0037739D"/>
    <w:rsid w:val="0037751C"/>
    <w:rsid w:val="00380B66"/>
    <w:rsid w:val="00380F3F"/>
    <w:rsid w:val="00382232"/>
    <w:rsid w:val="00382F1A"/>
    <w:rsid w:val="00383282"/>
    <w:rsid w:val="00383658"/>
    <w:rsid w:val="0038412E"/>
    <w:rsid w:val="00386053"/>
    <w:rsid w:val="0038771D"/>
    <w:rsid w:val="00392491"/>
    <w:rsid w:val="00393E44"/>
    <w:rsid w:val="0039747B"/>
    <w:rsid w:val="00397AB6"/>
    <w:rsid w:val="00397ACA"/>
    <w:rsid w:val="003A10C3"/>
    <w:rsid w:val="003A4A40"/>
    <w:rsid w:val="003A597F"/>
    <w:rsid w:val="003A71A8"/>
    <w:rsid w:val="003B00CA"/>
    <w:rsid w:val="003B030B"/>
    <w:rsid w:val="003B0432"/>
    <w:rsid w:val="003B0821"/>
    <w:rsid w:val="003B0BE9"/>
    <w:rsid w:val="003B1279"/>
    <w:rsid w:val="003B2E9B"/>
    <w:rsid w:val="003B2F8D"/>
    <w:rsid w:val="003B4FAA"/>
    <w:rsid w:val="003B547A"/>
    <w:rsid w:val="003B75B9"/>
    <w:rsid w:val="003C0DA2"/>
    <w:rsid w:val="003C1A18"/>
    <w:rsid w:val="003C496C"/>
    <w:rsid w:val="003C5C41"/>
    <w:rsid w:val="003C7461"/>
    <w:rsid w:val="003D0788"/>
    <w:rsid w:val="003D132A"/>
    <w:rsid w:val="003D1517"/>
    <w:rsid w:val="003D1D50"/>
    <w:rsid w:val="003D232D"/>
    <w:rsid w:val="003D2938"/>
    <w:rsid w:val="003D3FBA"/>
    <w:rsid w:val="003D402B"/>
    <w:rsid w:val="003D764F"/>
    <w:rsid w:val="003E0667"/>
    <w:rsid w:val="003E0BCE"/>
    <w:rsid w:val="003E13E0"/>
    <w:rsid w:val="003E1660"/>
    <w:rsid w:val="003E1CD1"/>
    <w:rsid w:val="003E2A2D"/>
    <w:rsid w:val="003E5F5F"/>
    <w:rsid w:val="003E64A9"/>
    <w:rsid w:val="003E7905"/>
    <w:rsid w:val="003F0336"/>
    <w:rsid w:val="003F5547"/>
    <w:rsid w:val="003F5C40"/>
    <w:rsid w:val="003F6E12"/>
    <w:rsid w:val="003F75ED"/>
    <w:rsid w:val="004002B7"/>
    <w:rsid w:val="00400F31"/>
    <w:rsid w:val="00406B4D"/>
    <w:rsid w:val="0041443C"/>
    <w:rsid w:val="0041488F"/>
    <w:rsid w:val="004154F7"/>
    <w:rsid w:val="00416D44"/>
    <w:rsid w:val="004176FF"/>
    <w:rsid w:val="00421A27"/>
    <w:rsid w:val="00421D0A"/>
    <w:rsid w:val="004241C5"/>
    <w:rsid w:val="00424FA7"/>
    <w:rsid w:val="00426A87"/>
    <w:rsid w:val="004309D8"/>
    <w:rsid w:val="004313D1"/>
    <w:rsid w:val="00432110"/>
    <w:rsid w:val="00433EBE"/>
    <w:rsid w:val="00434406"/>
    <w:rsid w:val="00440FED"/>
    <w:rsid w:val="00441B92"/>
    <w:rsid w:val="0044474B"/>
    <w:rsid w:val="00445FF7"/>
    <w:rsid w:val="004508A8"/>
    <w:rsid w:val="00453341"/>
    <w:rsid w:val="004545C6"/>
    <w:rsid w:val="00454DCA"/>
    <w:rsid w:val="00456544"/>
    <w:rsid w:val="00456649"/>
    <w:rsid w:val="004567B7"/>
    <w:rsid w:val="00456856"/>
    <w:rsid w:val="00461210"/>
    <w:rsid w:val="00462490"/>
    <w:rsid w:val="00465299"/>
    <w:rsid w:val="00466A0F"/>
    <w:rsid w:val="0046795B"/>
    <w:rsid w:val="004708C0"/>
    <w:rsid w:val="004715CB"/>
    <w:rsid w:val="00471863"/>
    <w:rsid w:val="00473A14"/>
    <w:rsid w:val="004745A9"/>
    <w:rsid w:val="00474871"/>
    <w:rsid w:val="00474CA8"/>
    <w:rsid w:val="00474E43"/>
    <w:rsid w:val="0048076D"/>
    <w:rsid w:val="00481765"/>
    <w:rsid w:val="00481D90"/>
    <w:rsid w:val="00482CD4"/>
    <w:rsid w:val="00483261"/>
    <w:rsid w:val="00485B23"/>
    <w:rsid w:val="004874E4"/>
    <w:rsid w:val="0049070D"/>
    <w:rsid w:val="00491BE4"/>
    <w:rsid w:val="00491DB2"/>
    <w:rsid w:val="004923E1"/>
    <w:rsid w:val="00492877"/>
    <w:rsid w:val="00495BA6"/>
    <w:rsid w:val="00496DC2"/>
    <w:rsid w:val="00496E75"/>
    <w:rsid w:val="004A014C"/>
    <w:rsid w:val="004A0AA8"/>
    <w:rsid w:val="004A1FE4"/>
    <w:rsid w:val="004A2CA9"/>
    <w:rsid w:val="004A33EF"/>
    <w:rsid w:val="004A34C9"/>
    <w:rsid w:val="004A3CB5"/>
    <w:rsid w:val="004A537D"/>
    <w:rsid w:val="004A67F0"/>
    <w:rsid w:val="004A71C3"/>
    <w:rsid w:val="004A7769"/>
    <w:rsid w:val="004B23AD"/>
    <w:rsid w:val="004B2965"/>
    <w:rsid w:val="004B4224"/>
    <w:rsid w:val="004B4297"/>
    <w:rsid w:val="004B4647"/>
    <w:rsid w:val="004B7455"/>
    <w:rsid w:val="004B74FF"/>
    <w:rsid w:val="004B7CE4"/>
    <w:rsid w:val="004C0401"/>
    <w:rsid w:val="004C0C49"/>
    <w:rsid w:val="004C183D"/>
    <w:rsid w:val="004C3EC7"/>
    <w:rsid w:val="004C3EEE"/>
    <w:rsid w:val="004C483D"/>
    <w:rsid w:val="004C4D15"/>
    <w:rsid w:val="004C6DA5"/>
    <w:rsid w:val="004C795A"/>
    <w:rsid w:val="004C7F93"/>
    <w:rsid w:val="004D26B8"/>
    <w:rsid w:val="004D38C2"/>
    <w:rsid w:val="004D4FBD"/>
    <w:rsid w:val="004D4FC0"/>
    <w:rsid w:val="004D6381"/>
    <w:rsid w:val="004D7DA8"/>
    <w:rsid w:val="004E2892"/>
    <w:rsid w:val="004E362B"/>
    <w:rsid w:val="004E3681"/>
    <w:rsid w:val="004E3D74"/>
    <w:rsid w:val="004E784B"/>
    <w:rsid w:val="004F0224"/>
    <w:rsid w:val="004F0DB4"/>
    <w:rsid w:val="004F0E04"/>
    <w:rsid w:val="004F1EBC"/>
    <w:rsid w:val="004F20E8"/>
    <w:rsid w:val="004F3B71"/>
    <w:rsid w:val="004F3FE5"/>
    <w:rsid w:val="004F5154"/>
    <w:rsid w:val="004F5835"/>
    <w:rsid w:val="004F661C"/>
    <w:rsid w:val="004F6D99"/>
    <w:rsid w:val="00500572"/>
    <w:rsid w:val="00501304"/>
    <w:rsid w:val="00501425"/>
    <w:rsid w:val="00504311"/>
    <w:rsid w:val="0050485C"/>
    <w:rsid w:val="00504AC6"/>
    <w:rsid w:val="00511079"/>
    <w:rsid w:val="00511CDF"/>
    <w:rsid w:val="00512829"/>
    <w:rsid w:val="00513839"/>
    <w:rsid w:val="00513DEF"/>
    <w:rsid w:val="0051423C"/>
    <w:rsid w:val="00514C91"/>
    <w:rsid w:val="005153CE"/>
    <w:rsid w:val="00516241"/>
    <w:rsid w:val="00516FD9"/>
    <w:rsid w:val="0051791D"/>
    <w:rsid w:val="00520D6D"/>
    <w:rsid w:val="00523E75"/>
    <w:rsid w:val="005243E0"/>
    <w:rsid w:val="005256F3"/>
    <w:rsid w:val="005265A3"/>
    <w:rsid w:val="00526783"/>
    <w:rsid w:val="00527FB1"/>
    <w:rsid w:val="00530FB4"/>
    <w:rsid w:val="005314DC"/>
    <w:rsid w:val="0053162F"/>
    <w:rsid w:val="00531777"/>
    <w:rsid w:val="0053281C"/>
    <w:rsid w:val="005340C9"/>
    <w:rsid w:val="005375FE"/>
    <w:rsid w:val="0054195A"/>
    <w:rsid w:val="005420DE"/>
    <w:rsid w:val="00542249"/>
    <w:rsid w:val="005431F5"/>
    <w:rsid w:val="00543707"/>
    <w:rsid w:val="005439D2"/>
    <w:rsid w:val="00543EBB"/>
    <w:rsid w:val="00544213"/>
    <w:rsid w:val="005453F3"/>
    <w:rsid w:val="00545549"/>
    <w:rsid w:val="005469F5"/>
    <w:rsid w:val="005518ED"/>
    <w:rsid w:val="00552093"/>
    <w:rsid w:val="00554E4B"/>
    <w:rsid w:val="00555F67"/>
    <w:rsid w:val="005604F1"/>
    <w:rsid w:val="005606A4"/>
    <w:rsid w:val="005607B8"/>
    <w:rsid w:val="00560CF5"/>
    <w:rsid w:val="0056272D"/>
    <w:rsid w:val="00562BAB"/>
    <w:rsid w:val="0056308E"/>
    <w:rsid w:val="005638C1"/>
    <w:rsid w:val="0056415C"/>
    <w:rsid w:val="005649BF"/>
    <w:rsid w:val="005650ED"/>
    <w:rsid w:val="00565869"/>
    <w:rsid w:val="00567415"/>
    <w:rsid w:val="00567610"/>
    <w:rsid w:val="00570D9F"/>
    <w:rsid w:val="00571CA8"/>
    <w:rsid w:val="00580793"/>
    <w:rsid w:val="00581470"/>
    <w:rsid w:val="00582087"/>
    <w:rsid w:val="005831DD"/>
    <w:rsid w:val="00584320"/>
    <w:rsid w:val="00585484"/>
    <w:rsid w:val="00587229"/>
    <w:rsid w:val="00587503"/>
    <w:rsid w:val="00587F7F"/>
    <w:rsid w:val="00590E8D"/>
    <w:rsid w:val="00591511"/>
    <w:rsid w:val="0059331A"/>
    <w:rsid w:val="00596BBA"/>
    <w:rsid w:val="005975C4"/>
    <w:rsid w:val="00597ED8"/>
    <w:rsid w:val="005A34D5"/>
    <w:rsid w:val="005A4904"/>
    <w:rsid w:val="005A515A"/>
    <w:rsid w:val="005A704D"/>
    <w:rsid w:val="005B3C6D"/>
    <w:rsid w:val="005B4045"/>
    <w:rsid w:val="005B609E"/>
    <w:rsid w:val="005B6DF6"/>
    <w:rsid w:val="005B7B7D"/>
    <w:rsid w:val="005C1948"/>
    <w:rsid w:val="005C22F9"/>
    <w:rsid w:val="005C263C"/>
    <w:rsid w:val="005C2679"/>
    <w:rsid w:val="005D059A"/>
    <w:rsid w:val="005D07C5"/>
    <w:rsid w:val="005D21B7"/>
    <w:rsid w:val="005D4302"/>
    <w:rsid w:val="005D5A20"/>
    <w:rsid w:val="005D786C"/>
    <w:rsid w:val="005E00E5"/>
    <w:rsid w:val="005E049F"/>
    <w:rsid w:val="005E3073"/>
    <w:rsid w:val="005E316A"/>
    <w:rsid w:val="005E7DA8"/>
    <w:rsid w:val="005F0108"/>
    <w:rsid w:val="005F0918"/>
    <w:rsid w:val="005F0ECC"/>
    <w:rsid w:val="005F21A5"/>
    <w:rsid w:val="005F2470"/>
    <w:rsid w:val="005F28C6"/>
    <w:rsid w:val="005F3F16"/>
    <w:rsid w:val="005F46BC"/>
    <w:rsid w:val="005F52CC"/>
    <w:rsid w:val="005F5E6F"/>
    <w:rsid w:val="005F6BD4"/>
    <w:rsid w:val="005F7188"/>
    <w:rsid w:val="005F7985"/>
    <w:rsid w:val="00600CEB"/>
    <w:rsid w:val="00602A78"/>
    <w:rsid w:val="00602A84"/>
    <w:rsid w:val="00602AA1"/>
    <w:rsid w:val="00604367"/>
    <w:rsid w:val="006044BE"/>
    <w:rsid w:val="0060475F"/>
    <w:rsid w:val="006060C2"/>
    <w:rsid w:val="00606A26"/>
    <w:rsid w:val="00607D81"/>
    <w:rsid w:val="00610747"/>
    <w:rsid w:val="00610E03"/>
    <w:rsid w:val="0061176E"/>
    <w:rsid w:val="00614CD1"/>
    <w:rsid w:val="0061567B"/>
    <w:rsid w:val="0062152A"/>
    <w:rsid w:val="00623583"/>
    <w:rsid w:val="0062462F"/>
    <w:rsid w:val="00624BA1"/>
    <w:rsid w:val="0062661B"/>
    <w:rsid w:val="00630118"/>
    <w:rsid w:val="00630514"/>
    <w:rsid w:val="006310AE"/>
    <w:rsid w:val="00631762"/>
    <w:rsid w:val="00632196"/>
    <w:rsid w:val="00632BA2"/>
    <w:rsid w:val="00633BF2"/>
    <w:rsid w:val="00633F67"/>
    <w:rsid w:val="006345C3"/>
    <w:rsid w:val="006362F9"/>
    <w:rsid w:val="006369A9"/>
    <w:rsid w:val="006373CD"/>
    <w:rsid w:val="0064165D"/>
    <w:rsid w:val="00642E8C"/>
    <w:rsid w:val="006433BD"/>
    <w:rsid w:val="00643784"/>
    <w:rsid w:val="00644186"/>
    <w:rsid w:val="00644A21"/>
    <w:rsid w:val="00645C9F"/>
    <w:rsid w:val="00646305"/>
    <w:rsid w:val="00646A6C"/>
    <w:rsid w:val="006475E6"/>
    <w:rsid w:val="006508B9"/>
    <w:rsid w:val="00650CA1"/>
    <w:rsid w:val="00651854"/>
    <w:rsid w:val="006539E8"/>
    <w:rsid w:val="006565D8"/>
    <w:rsid w:val="00656B96"/>
    <w:rsid w:val="0065736B"/>
    <w:rsid w:val="00657AE5"/>
    <w:rsid w:val="006619B0"/>
    <w:rsid w:val="00662012"/>
    <w:rsid w:val="00662543"/>
    <w:rsid w:val="006626D0"/>
    <w:rsid w:val="00664E8C"/>
    <w:rsid w:val="00665F7C"/>
    <w:rsid w:val="0066699A"/>
    <w:rsid w:val="00666DFC"/>
    <w:rsid w:val="00666EBB"/>
    <w:rsid w:val="0066779E"/>
    <w:rsid w:val="0067269D"/>
    <w:rsid w:val="00672988"/>
    <w:rsid w:val="00672C64"/>
    <w:rsid w:val="00674E6A"/>
    <w:rsid w:val="00675CF4"/>
    <w:rsid w:val="00676A64"/>
    <w:rsid w:val="00677925"/>
    <w:rsid w:val="00680F46"/>
    <w:rsid w:val="00681FDC"/>
    <w:rsid w:val="00682B53"/>
    <w:rsid w:val="00682F27"/>
    <w:rsid w:val="00690E2E"/>
    <w:rsid w:val="006915D7"/>
    <w:rsid w:val="00692814"/>
    <w:rsid w:val="006932E7"/>
    <w:rsid w:val="00693347"/>
    <w:rsid w:val="0069334C"/>
    <w:rsid w:val="00696D63"/>
    <w:rsid w:val="006A032F"/>
    <w:rsid w:val="006A146E"/>
    <w:rsid w:val="006A2607"/>
    <w:rsid w:val="006A41AE"/>
    <w:rsid w:val="006A4856"/>
    <w:rsid w:val="006A564B"/>
    <w:rsid w:val="006B1545"/>
    <w:rsid w:val="006B2DA7"/>
    <w:rsid w:val="006B2F4D"/>
    <w:rsid w:val="006B3682"/>
    <w:rsid w:val="006B48CB"/>
    <w:rsid w:val="006C1445"/>
    <w:rsid w:val="006C4FC1"/>
    <w:rsid w:val="006C51A5"/>
    <w:rsid w:val="006C529D"/>
    <w:rsid w:val="006D0C12"/>
    <w:rsid w:val="006D0E6B"/>
    <w:rsid w:val="006D2146"/>
    <w:rsid w:val="006D632E"/>
    <w:rsid w:val="006E094A"/>
    <w:rsid w:val="006E12B1"/>
    <w:rsid w:val="006E13D1"/>
    <w:rsid w:val="006E4D0C"/>
    <w:rsid w:val="006E4D1B"/>
    <w:rsid w:val="006E57F7"/>
    <w:rsid w:val="006E5B78"/>
    <w:rsid w:val="006E6BA3"/>
    <w:rsid w:val="006F1116"/>
    <w:rsid w:val="006F3196"/>
    <w:rsid w:val="006F3C54"/>
    <w:rsid w:val="006F5E64"/>
    <w:rsid w:val="006F60DE"/>
    <w:rsid w:val="006F65FB"/>
    <w:rsid w:val="006F7914"/>
    <w:rsid w:val="006F7C0B"/>
    <w:rsid w:val="006F7E46"/>
    <w:rsid w:val="00700AB4"/>
    <w:rsid w:val="00700FCA"/>
    <w:rsid w:val="00701645"/>
    <w:rsid w:val="00702D5A"/>
    <w:rsid w:val="00702EF7"/>
    <w:rsid w:val="00703285"/>
    <w:rsid w:val="00703989"/>
    <w:rsid w:val="007042E9"/>
    <w:rsid w:val="0071118B"/>
    <w:rsid w:val="00711E13"/>
    <w:rsid w:val="00712EDA"/>
    <w:rsid w:val="007136D0"/>
    <w:rsid w:val="007155A9"/>
    <w:rsid w:val="007158E1"/>
    <w:rsid w:val="0071705B"/>
    <w:rsid w:val="00720505"/>
    <w:rsid w:val="007236A3"/>
    <w:rsid w:val="007239B6"/>
    <w:rsid w:val="0072490A"/>
    <w:rsid w:val="0072517D"/>
    <w:rsid w:val="00726878"/>
    <w:rsid w:val="0073124A"/>
    <w:rsid w:val="00731B79"/>
    <w:rsid w:val="00733893"/>
    <w:rsid w:val="00734A05"/>
    <w:rsid w:val="00735C6F"/>
    <w:rsid w:val="00742A6A"/>
    <w:rsid w:val="00742B44"/>
    <w:rsid w:val="007472D5"/>
    <w:rsid w:val="00753BB5"/>
    <w:rsid w:val="00756832"/>
    <w:rsid w:val="00761909"/>
    <w:rsid w:val="007626D0"/>
    <w:rsid w:val="007651CA"/>
    <w:rsid w:val="00767519"/>
    <w:rsid w:val="007704E1"/>
    <w:rsid w:val="00770E5C"/>
    <w:rsid w:val="00771037"/>
    <w:rsid w:val="00772569"/>
    <w:rsid w:val="00772E8C"/>
    <w:rsid w:val="007736D3"/>
    <w:rsid w:val="0077500F"/>
    <w:rsid w:val="0077548E"/>
    <w:rsid w:val="00777315"/>
    <w:rsid w:val="007802E4"/>
    <w:rsid w:val="00780919"/>
    <w:rsid w:val="007826C8"/>
    <w:rsid w:val="00784190"/>
    <w:rsid w:val="0078457B"/>
    <w:rsid w:val="00784756"/>
    <w:rsid w:val="0078539D"/>
    <w:rsid w:val="007856C1"/>
    <w:rsid w:val="00787051"/>
    <w:rsid w:val="0079018D"/>
    <w:rsid w:val="00791A00"/>
    <w:rsid w:val="00792CEE"/>
    <w:rsid w:val="007962B4"/>
    <w:rsid w:val="00796F15"/>
    <w:rsid w:val="007A138F"/>
    <w:rsid w:val="007A1640"/>
    <w:rsid w:val="007A1AE4"/>
    <w:rsid w:val="007A39DF"/>
    <w:rsid w:val="007A43ED"/>
    <w:rsid w:val="007A4BDD"/>
    <w:rsid w:val="007A60BC"/>
    <w:rsid w:val="007A72EE"/>
    <w:rsid w:val="007B0397"/>
    <w:rsid w:val="007B26EE"/>
    <w:rsid w:val="007B3502"/>
    <w:rsid w:val="007B3E6D"/>
    <w:rsid w:val="007B44ED"/>
    <w:rsid w:val="007B491A"/>
    <w:rsid w:val="007B5370"/>
    <w:rsid w:val="007B61F5"/>
    <w:rsid w:val="007B63FA"/>
    <w:rsid w:val="007B7496"/>
    <w:rsid w:val="007C0802"/>
    <w:rsid w:val="007C12BE"/>
    <w:rsid w:val="007C2739"/>
    <w:rsid w:val="007C4B0F"/>
    <w:rsid w:val="007C4DAD"/>
    <w:rsid w:val="007C5830"/>
    <w:rsid w:val="007C5DB8"/>
    <w:rsid w:val="007C6CA2"/>
    <w:rsid w:val="007D05B2"/>
    <w:rsid w:val="007D0C44"/>
    <w:rsid w:val="007D1972"/>
    <w:rsid w:val="007D1F33"/>
    <w:rsid w:val="007D3307"/>
    <w:rsid w:val="007D5E27"/>
    <w:rsid w:val="007D6F64"/>
    <w:rsid w:val="007E25AB"/>
    <w:rsid w:val="007E44FC"/>
    <w:rsid w:val="007E5AC2"/>
    <w:rsid w:val="007E79C5"/>
    <w:rsid w:val="007F25E1"/>
    <w:rsid w:val="007F2845"/>
    <w:rsid w:val="007F43BC"/>
    <w:rsid w:val="007F4740"/>
    <w:rsid w:val="007F5DD3"/>
    <w:rsid w:val="008006C6"/>
    <w:rsid w:val="00800C52"/>
    <w:rsid w:val="0080153E"/>
    <w:rsid w:val="0080263A"/>
    <w:rsid w:val="0080329D"/>
    <w:rsid w:val="0080742D"/>
    <w:rsid w:val="008100AC"/>
    <w:rsid w:val="0081151E"/>
    <w:rsid w:val="00812498"/>
    <w:rsid w:val="008127E6"/>
    <w:rsid w:val="0081336E"/>
    <w:rsid w:val="00813928"/>
    <w:rsid w:val="00820DC7"/>
    <w:rsid w:val="00820FFB"/>
    <w:rsid w:val="00821698"/>
    <w:rsid w:val="008221FE"/>
    <w:rsid w:val="00822BF5"/>
    <w:rsid w:val="00824894"/>
    <w:rsid w:val="00825366"/>
    <w:rsid w:val="00826C7B"/>
    <w:rsid w:val="00826DD9"/>
    <w:rsid w:val="00826E01"/>
    <w:rsid w:val="008277A8"/>
    <w:rsid w:val="008278B6"/>
    <w:rsid w:val="008307ED"/>
    <w:rsid w:val="0083350F"/>
    <w:rsid w:val="00834358"/>
    <w:rsid w:val="008346BD"/>
    <w:rsid w:val="00834923"/>
    <w:rsid w:val="00836B7A"/>
    <w:rsid w:val="008409AA"/>
    <w:rsid w:val="00840FB8"/>
    <w:rsid w:val="00843A7A"/>
    <w:rsid w:val="008447F5"/>
    <w:rsid w:val="00846292"/>
    <w:rsid w:val="008506E1"/>
    <w:rsid w:val="008515EE"/>
    <w:rsid w:val="008528D3"/>
    <w:rsid w:val="008539CE"/>
    <w:rsid w:val="00854553"/>
    <w:rsid w:val="00855B86"/>
    <w:rsid w:val="00860874"/>
    <w:rsid w:val="008609A3"/>
    <w:rsid w:val="00862008"/>
    <w:rsid w:val="00862720"/>
    <w:rsid w:val="008628C8"/>
    <w:rsid w:val="00862B2A"/>
    <w:rsid w:val="008630B9"/>
    <w:rsid w:val="00863F37"/>
    <w:rsid w:val="0086406B"/>
    <w:rsid w:val="00864C8C"/>
    <w:rsid w:val="00867651"/>
    <w:rsid w:val="008743F3"/>
    <w:rsid w:val="0087444A"/>
    <w:rsid w:val="00875139"/>
    <w:rsid w:val="00875410"/>
    <w:rsid w:val="00880EDF"/>
    <w:rsid w:val="00882DE6"/>
    <w:rsid w:val="00883A20"/>
    <w:rsid w:val="00883D4D"/>
    <w:rsid w:val="00884B59"/>
    <w:rsid w:val="008850BA"/>
    <w:rsid w:val="00885876"/>
    <w:rsid w:val="00886185"/>
    <w:rsid w:val="008861D9"/>
    <w:rsid w:val="0088638C"/>
    <w:rsid w:val="00886EDF"/>
    <w:rsid w:val="008908E5"/>
    <w:rsid w:val="00891216"/>
    <w:rsid w:val="00894FDC"/>
    <w:rsid w:val="0089716F"/>
    <w:rsid w:val="008A16F9"/>
    <w:rsid w:val="008A1D3E"/>
    <w:rsid w:val="008A4B16"/>
    <w:rsid w:val="008A4D63"/>
    <w:rsid w:val="008A6D62"/>
    <w:rsid w:val="008B13E9"/>
    <w:rsid w:val="008B3B51"/>
    <w:rsid w:val="008B4057"/>
    <w:rsid w:val="008B4145"/>
    <w:rsid w:val="008B5071"/>
    <w:rsid w:val="008B5290"/>
    <w:rsid w:val="008C2CFD"/>
    <w:rsid w:val="008C603A"/>
    <w:rsid w:val="008C71C8"/>
    <w:rsid w:val="008D167D"/>
    <w:rsid w:val="008D492A"/>
    <w:rsid w:val="008D4B58"/>
    <w:rsid w:val="008D4B8A"/>
    <w:rsid w:val="008D6541"/>
    <w:rsid w:val="008D7D7B"/>
    <w:rsid w:val="008E0F52"/>
    <w:rsid w:val="008E2316"/>
    <w:rsid w:val="008E34BE"/>
    <w:rsid w:val="008E42CE"/>
    <w:rsid w:val="008E42F4"/>
    <w:rsid w:val="008E5657"/>
    <w:rsid w:val="008E5E51"/>
    <w:rsid w:val="008F00DB"/>
    <w:rsid w:val="008F1264"/>
    <w:rsid w:val="008F2D95"/>
    <w:rsid w:val="008F47C6"/>
    <w:rsid w:val="008F700E"/>
    <w:rsid w:val="009006A2"/>
    <w:rsid w:val="0090102B"/>
    <w:rsid w:val="00901197"/>
    <w:rsid w:val="00901448"/>
    <w:rsid w:val="009036BC"/>
    <w:rsid w:val="00905AB2"/>
    <w:rsid w:val="00905C47"/>
    <w:rsid w:val="00906379"/>
    <w:rsid w:val="009101EA"/>
    <w:rsid w:val="009106FC"/>
    <w:rsid w:val="009118BB"/>
    <w:rsid w:val="0091191F"/>
    <w:rsid w:val="009120A9"/>
    <w:rsid w:val="00913208"/>
    <w:rsid w:val="00915B81"/>
    <w:rsid w:val="00915D6B"/>
    <w:rsid w:val="009160DF"/>
    <w:rsid w:val="009162C7"/>
    <w:rsid w:val="00916EC2"/>
    <w:rsid w:val="009213BD"/>
    <w:rsid w:val="00924627"/>
    <w:rsid w:val="009250A8"/>
    <w:rsid w:val="00925BE6"/>
    <w:rsid w:val="00926F61"/>
    <w:rsid w:val="00926FA9"/>
    <w:rsid w:val="009273DB"/>
    <w:rsid w:val="0093123D"/>
    <w:rsid w:val="00933040"/>
    <w:rsid w:val="009330E9"/>
    <w:rsid w:val="00935D15"/>
    <w:rsid w:val="009411FB"/>
    <w:rsid w:val="009414A9"/>
    <w:rsid w:val="009416F7"/>
    <w:rsid w:val="00941B71"/>
    <w:rsid w:val="00941DF9"/>
    <w:rsid w:val="009421AD"/>
    <w:rsid w:val="0094221C"/>
    <w:rsid w:val="0094409C"/>
    <w:rsid w:val="00944159"/>
    <w:rsid w:val="009449B2"/>
    <w:rsid w:val="00944A82"/>
    <w:rsid w:val="00944BA5"/>
    <w:rsid w:val="00946C4D"/>
    <w:rsid w:val="0095285B"/>
    <w:rsid w:val="00953FE9"/>
    <w:rsid w:val="0095481C"/>
    <w:rsid w:val="0095526F"/>
    <w:rsid w:val="009567E6"/>
    <w:rsid w:val="00957076"/>
    <w:rsid w:val="00957132"/>
    <w:rsid w:val="009576FD"/>
    <w:rsid w:val="009578EB"/>
    <w:rsid w:val="009578FF"/>
    <w:rsid w:val="00960446"/>
    <w:rsid w:val="009610ED"/>
    <w:rsid w:val="009633BB"/>
    <w:rsid w:val="00963AAF"/>
    <w:rsid w:val="0096485F"/>
    <w:rsid w:val="00967354"/>
    <w:rsid w:val="00971592"/>
    <w:rsid w:val="00971DDF"/>
    <w:rsid w:val="009731D6"/>
    <w:rsid w:val="00974746"/>
    <w:rsid w:val="00975119"/>
    <w:rsid w:val="00976F04"/>
    <w:rsid w:val="009777F4"/>
    <w:rsid w:val="00977AD8"/>
    <w:rsid w:val="00980A10"/>
    <w:rsid w:val="00981130"/>
    <w:rsid w:val="00983D46"/>
    <w:rsid w:val="00983DCA"/>
    <w:rsid w:val="00985EF7"/>
    <w:rsid w:val="00986CF9"/>
    <w:rsid w:val="00987416"/>
    <w:rsid w:val="00987B0E"/>
    <w:rsid w:val="009908D5"/>
    <w:rsid w:val="00990C0E"/>
    <w:rsid w:val="00990D75"/>
    <w:rsid w:val="00991093"/>
    <w:rsid w:val="0099163B"/>
    <w:rsid w:val="00992343"/>
    <w:rsid w:val="00996306"/>
    <w:rsid w:val="00996744"/>
    <w:rsid w:val="00997CF4"/>
    <w:rsid w:val="009A1169"/>
    <w:rsid w:val="009A1AAC"/>
    <w:rsid w:val="009A3789"/>
    <w:rsid w:val="009A45A2"/>
    <w:rsid w:val="009A6919"/>
    <w:rsid w:val="009A6AC7"/>
    <w:rsid w:val="009B0408"/>
    <w:rsid w:val="009B0843"/>
    <w:rsid w:val="009B1E47"/>
    <w:rsid w:val="009B2CED"/>
    <w:rsid w:val="009B335D"/>
    <w:rsid w:val="009B7A72"/>
    <w:rsid w:val="009B7BB8"/>
    <w:rsid w:val="009C126A"/>
    <w:rsid w:val="009C1D4C"/>
    <w:rsid w:val="009C2DD2"/>
    <w:rsid w:val="009C3D02"/>
    <w:rsid w:val="009C441F"/>
    <w:rsid w:val="009C4A07"/>
    <w:rsid w:val="009C4B8E"/>
    <w:rsid w:val="009C51D5"/>
    <w:rsid w:val="009C543C"/>
    <w:rsid w:val="009C599A"/>
    <w:rsid w:val="009C650E"/>
    <w:rsid w:val="009C70DB"/>
    <w:rsid w:val="009D19BC"/>
    <w:rsid w:val="009D2348"/>
    <w:rsid w:val="009D2F0C"/>
    <w:rsid w:val="009D3578"/>
    <w:rsid w:val="009D377F"/>
    <w:rsid w:val="009D3A5F"/>
    <w:rsid w:val="009D5193"/>
    <w:rsid w:val="009D5C32"/>
    <w:rsid w:val="009D6472"/>
    <w:rsid w:val="009D79F4"/>
    <w:rsid w:val="009E2FC0"/>
    <w:rsid w:val="009E3CD1"/>
    <w:rsid w:val="009E4071"/>
    <w:rsid w:val="009E5AF5"/>
    <w:rsid w:val="009E5EB5"/>
    <w:rsid w:val="009E74F0"/>
    <w:rsid w:val="009F0768"/>
    <w:rsid w:val="009F7867"/>
    <w:rsid w:val="009F7D66"/>
    <w:rsid w:val="00A00BD2"/>
    <w:rsid w:val="00A00E56"/>
    <w:rsid w:val="00A027F3"/>
    <w:rsid w:val="00A03978"/>
    <w:rsid w:val="00A04D7E"/>
    <w:rsid w:val="00A051D9"/>
    <w:rsid w:val="00A05DF3"/>
    <w:rsid w:val="00A07E08"/>
    <w:rsid w:val="00A11E56"/>
    <w:rsid w:val="00A12798"/>
    <w:rsid w:val="00A153BE"/>
    <w:rsid w:val="00A15DEE"/>
    <w:rsid w:val="00A167B5"/>
    <w:rsid w:val="00A16DBE"/>
    <w:rsid w:val="00A179E0"/>
    <w:rsid w:val="00A17C4F"/>
    <w:rsid w:val="00A20653"/>
    <w:rsid w:val="00A20A39"/>
    <w:rsid w:val="00A238BD"/>
    <w:rsid w:val="00A243E4"/>
    <w:rsid w:val="00A2459D"/>
    <w:rsid w:val="00A24E23"/>
    <w:rsid w:val="00A25F05"/>
    <w:rsid w:val="00A30B2D"/>
    <w:rsid w:val="00A311AE"/>
    <w:rsid w:val="00A312A6"/>
    <w:rsid w:val="00A3130E"/>
    <w:rsid w:val="00A324CF"/>
    <w:rsid w:val="00A32E8B"/>
    <w:rsid w:val="00A32ED6"/>
    <w:rsid w:val="00A344A5"/>
    <w:rsid w:val="00A346C3"/>
    <w:rsid w:val="00A34D4A"/>
    <w:rsid w:val="00A42D07"/>
    <w:rsid w:val="00A4503E"/>
    <w:rsid w:val="00A450C0"/>
    <w:rsid w:val="00A45468"/>
    <w:rsid w:val="00A4791B"/>
    <w:rsid w:val="00A50A48"/>
    <w:rsid w:val="00A51242"/>
    <w:rsid w:val="00A51522"/>
    <w:rsid w:val="00A51573"/>
    <w:rsid w:val="00A51A5E"/>
    <w:rsid w:val="00A52895"/>
    <w:rsid w:val="00A53DA0"/>
    <w:rsid w:val="00A5404D"/>
    <w:rsid w:val="00A57050"/>
    <w:rsid w:val="00A5765D"/>
    <w:rsid w:val="00A607CB"/>
    <w:rsid w:val="00A6351F"/>
    <w:rsid w:val="00A65A70"/>
    <w:rsid w:val="00A66F36"/>
    <w:rsid w:val="00A67099"/>
    <w:rsid w:val="00A676D9"/>
    <w:rsid w:val="00A67EFC"/>
    <w:rsid w:val="00A7031E"/>
    <w:rsid w:val="00A71140"/>
    <w:rsid w:val="00A74692"/>
    <w:rsid w:val="00A75ACC"/>
    <w:rsid w:val="00A7618B"/>
    <w:rsid w:val="00A7640B"/>
    <w:rsid w:val="00A7778B"/>
    <w:rsid w:val="00A803BC"/>
    <w:rsid w:val="00A80969"/>
    <w:rsid w:val="00A86EA7"/>
    <w:rsid w:val="00A91244"/>
    <w:rsid w:val="00A91752"/>
    <w:rsid w:val="00A92776"/>
    <w:rsid w:val="00A93181"/>
    <w:rsid w:val="00A938E6"/>
    <w:rsid w:val="00A93CCF"/>
    <w:rsid w:val="00A95BD5"/>
    <w:rsid w:val="00A96F78"/>
    <w:rsid w:val="00AA0B9E"/>
    <w:rsid w:val="00AA1087"/>
    <w:rsid w:val="00AA1D8C"/>
    <w:rsid w:val="00AA25A9"/>
    <w:rsid w:val="00AA26D9"/>
    <w:rsid w:val="00AA4605"/>
    <w:rsid w:val="00AA51AD"/>
    <w:rsid w:val="00AA591E"/>
    <w:rsid w:val="00AA65C9"/>
    <w:rsid w:val="00AA66CB"/>
    <w:rsid w:val="00AB0A32"/>
    <w:rsid w:val="00AB0E56"/>
    <w:rsid w:val="00AB0ED5"/>
    <w:rsid w:val="00AB3A15"/>
    <w:rsid w:val="00AB4ECC"/>
    <w:rsid w:val="00AB6601"/>
    <w:rsid w:val="00AB674E"/>
    <w:rsid w:val="00AB6D79"/>
    <w:rsid w:val="00AB7806"/>
    <w:rsid w:val="00AC02C1"/>
    <w:rsid w:val="00AC0AB6"/>
    <w:rsid w:val="00AC10AD"/>
    <w:rsid w:val="00AC1E55"/>
    <w:rsid w:val="00AC3D06"/>
    <w:rsid w:val="00AC429F"/>
    <w:rsid w:val="00AC60B4"/>
    <w:rsid w:val="00AD00C5"/>
    <w:rsid w:val="00AD165F"/>
    <w:rsid w:val="00AD2794"/>
    <w:rsid w:val="00AD2DC5"/>
    <w:rsid w:val="00AD3455"/>
    <w:rsid w:val="00AD3CAD"/>
    <w:rsid w:val="00AD69FF"/>
    <w:rsid w:val="00AD702B"/>
    <w:rsid w:val="00AD72E6"/>
    <w:rsid w:val="00AD7C95"/>
    <w:rsid w:val="00AE3DE1"/>
    <w:rsid w:val="00AE78D1"/>
    <w:rsid w:val="00AF2D54"/>
    <w:rsid w:val="00AF3458"/>
    <w:rsid w:val="00AF3F7B"/>
    <w:rsid w:val="00AF42B4"/>
    <w:rsid w:val="00AF4B8A"/>
    <w:rsid w:val="00AF4F1B"/>
    <w:rsid w:val="00AF5EC6"/>
    <w:rsid w:val="00AF6E8A"/>
    <w:rsid w:val="00AF7213"/>
    <w:rsid w:val="00AF7D92"/>
    <w:rsid w:val="00B011CC"/>
    <w:rsid w:val="00B04048"/>
    <w:rsid w:val="00B04F3D"/>
    <w:rsid w:val="00B05702"/>
    <w:rsid w:val="00B06DD9"/>
    <w:rsid w:val="00B07CD6"/>
    <w:rsid w:val="00B07E52"/>
    <w:rsid w:val="00B10010"/>
    <w:rsid w:val="00B11775"/>
    <w:rsid w:val="00B1302D"/>
    <w:rsid w:val="00B1513F"/>
    <w:rsid w:val="00B15B89"/>
    <w:rsid w:val="00B1746F"/>
    <w:rsid w:val="00B20725"/>
    <w:rsid w:val="00B2087E"/>
    <w:rsid w:val="00B20B94"/>
    <w:rsid w:val="00B2628E"/>
    <w:rsid w:val="00B266B0"/>
    <w:rsid w:val="00B27921"/>
    <w:rsid w:val="00B3000E"/>
    <w:rsid w:val="00B31B8D"/>
    <w:rsid w:val="00B326A8"/>
    <w:rsid w:val="00B329EB"/>
    <w:rsid w:val="00B33508"/>
    <w:rsid w:val="00B3377E"/>
    <w:rsid w:val="00B35DA4"/>
    <w:rsid w:val="00B40A96"/>
    <w:rsid w:val="00B4184B"/>
    <w:rsid w:val="00B422A7"/>
    <w:rsid w:val="00B42A32"/>
    <w:rsid w:val="00B42FA6"/>
    <w:rsid w:val="00B4399E"/>
    <w:rsid w:val="00B43A16"/>
    <w:rsid w:val="00B44B60"/>
    <w:rsid w:val="00B45CE1"/>
    <w:rsid w:val="00B46A75"/>
    <w:rsid w:val="00B500CD"/>
    <w:rsid w:val="00B5239C"/>
    <w:rsid w:val="00B53893"/>
    <w:rsid w:val="00B548C2"/>
    <w:rsid w:val="00B55428"/>
    <w:rsid w:val="00B570BF"/>
    <w:rsid w:val="00B63337"/>
    <w:rsid w:val="00B6369F"/>
    <w:rsid w:val="00B639D7"/>
    <w:rsid w:val="00B64AA7"/>
    <w:rsid w:val="00B6575E"/>
    <w:rsid w:val="00B66594"/>
    <w:rsid w:val="00B67805"/>
    <w:rsid w:val="00B721CD"/>
    <w:rsid w:val="00B7267A"/>
    <w:rsid w:val="00B726FF"/>
    <w:rsid w:val="00B72AA4"/>
    <w:rsid w:val="00B75454"/>
    <w:rsid w:val="00B76BCD"/>
    <w:rsid w:val="00B76EE9"/>
    <w:rsid w:val="00B77880"/>
    <w:rsid w:val="00B80D90"/>
    <w:rsid w:val="00B82613"/>
    <w:rsid w:val="00B828B5"/>
    <w:rsid w:val="00B82ED8"/>
    <w:rsid w:val="00B845D0"/>
    <w:rsid w:val="00B84E9C"/>
    <w:rsid w:val="00B85522"/>
    <w:rsid w:val="00B90E2A"/>
    <w:rsid w:val="00B90F2A"/>
    <w:rsid w:val="00B9198D"/>
    <w:rsid w:val="00B93008"/>
    <w:rsid w:val="00B9406D"/>
    <w:rsid w:val="00B94BA7"/>
    <w:rsid w:val="00B94E0E"/>
    <w:rsid w:val="00B97CA3"/>
    <w:rsid w:val="00BA4A54"/>
    <w:rsid w:val="00BA76A9"/>
    <w:rsid w:val="00BB3E2B"/>
    <w:rsid w:val="00BB5D1C"/>
    <w:rsid w:val="00BB6552"/>
    <w:rsid w:val="00BB6B9B"/>
    <w:rsid w:val="00BB754F"/>
    <w:rsid w:val="00BC07D4"/>
    <w:rsid w:val="00BC0A5D"/>
    <w:rsid w:val="00BC0BE3"/>
    <w:rsid w:val="00BC1534"/>
    <w:rsid w:val="00BC1AD9"/>
    <w:rsid w:val="00BC32E7"/>
    <w:rsid w:val="00BC58B9"/>
    <w:rsid w:val="00BD3E68"/>
    <w:rsid w:val="00BD598A"/>
    <w:rsid w:val="00BD75B4"/>
    <w:rsid w:val="00BD7D14"/>
    <w:rsid w:val="00BE02B4"/>
    <w:rsid w:val="00BE4EC9"/>
    <w:rsid w:val="00BE631E"/>
    <w:rsid w:val="00BF0CCF"/>
    <w:rsid w:val="00BF0FC5"/>
    <w:rsid w:val="00BF10BC"/>
    <w:rsid w:val="00BF21AC"/>
    <w:rsid w:val="00BF2E53"/>
    <w:rsid w:val="00BF3669"/>
    <w:rsid w:val="00BF3C0D"/>
    <w:rsid w:val="00BF711C"/>
    <w:rsid w:val="00BF748E"/>
    <w:rsid w:val="00BF789B"/>
    <w:rsid w:val="00C03309"/>
    <w:rsid w:val="00C072FE"/>
    <w:rsid w:val="00C12E39"/>
    <w:rsid w:val="00C14164"/>
    <w:rsid w:val="00C15D36"/>
    <w:rsid w:val="00C15D8E"/>
    <w:rsid w:val="00C17012"/>
    <w:rsid w:val="00C178FB"/>
    <w:rsid w:val="00C22B28"/>
    <w:rsid w:val="00C257B7"/>
    <w:rsid w:val="00C272E8"/>
    <w:rsid w:val="00C33359"/>
    <w:rsid w:val="00C348D6"/>
    <w:rsid w:val="00C365E7"/>
    <w:rsid w:val="00C36E34"/>
    <w:rsid w:val="00C404EE"/>
    <w:rsid w:val="00C4171B"/>
    <w:rsid w:val="00C42689"/>
    <w:rsid w:val="00C42988"/>
    <w:rsid w:val="00C42BD4"/>
    <w:rsid w:val="00C43FF0"/>
    <w:rsid w:val="00C44641"/>
    <w:rsid w:val="00C45EF5"/>
    <w:rsid w:val="00C46B7E"/>
    <w:rsid w:val="00C50A4E"/>
    <w:rsid w:val="00C520B1"/>
    <w:rsid w:val="00C522D6"/>
    <w:rsid w:val="00C52C52"/>
    <w:rsid w:val="00C54020"/>
    <w:rsid w:val="00C5406F"/>
    <w:rsid w:val="00C545C5"/>
    <w:rsid w:val="00C54F35"/>
    <w:rsid w:val="00C55566"/>
    <w:rsid w:val="00C57A01"/>
    <w:rsid w:val="00C61D4B"/>
    <w:rsid w:val="00C62B0A"/>
    <w:rsid w:val="00C63F08"/>
    <w:rsid w:val="00C6528C"/>
    <w:rsid w:val="00C661E8"/>
    <w:rsid w:val="00C70084"/>
    <w:rsid w:val="00C7235B"/>
    <w:rsid w:val="00C72E18"/>
    <w:rsid w:val="00C731AD"/>
    <w:rsid w:val="00C7380B"/>
    <w:rsid w:val="00C74421"/>
    <w:rsid w:val="00C75F2F"/>
    <w:rsid w:val="00C75FEE"/>
    <w:rsid w:val="00C76F1D"/>
    <w:rsid w:val="00C77D26"/>
    <w:rsid w:val="00C80BDF"/>
    <w:rsid w:val="00C815DF"/>
    <w:rsid w:val="00C84D39"/>
    <w:rsid w:val="00C85277"/>
    <w:rsid w:val="00C85D76"/>
    <w:rsid w:val="00C86179"/>
    <w:rsid w:val="00C873AC"/>
    <w:rsid w:val="00C93462"/>
    <w:rsid w:val="00C94384"/>
    <w:rsid w:val="00C94A34"/>
    <w:rsid w:val="00C94C2B"/>
    <w:rsid w:val="00C96F79"/>
    <w:rsid w:val="00C97CF9"/>
    <w:rsid w:val="00CA17DD"/>
    <w:rsid w:val="00CA1863"/>
    <w:rsid w:val="00CA26CE"/>
    <w:rsid w:val="00CA391D"/>
    <w:rsid w:val="00CA3ACD"/>
    <w:rsid w:val="00CA4F8B"/>
    <w:rsid w:val="00CB09DA"/>
    <w:rsid w:val="00CB0BD9"/>
    <w:rsid w:val="00CB1CAC"/>
    <w:rsid w:val="00CB1DE8"/>
    <w:rsid w:val="00CB1E3B"/>
    <w:rsid w:val="00CB1F1D"/>
    <w:rsid w:val="00CB6795"/>
    <w:rsid w:val="00CB71F8"/>
    <w:rsid w:val="00CC180A"/>
    <w:rsid w:val="00CC26DB"/>
    <w:rsid w:val="00CC300C"/>
    <w:rsid w:val="00CC35AE"/>
    <w:rsid w:val="00CC3DAA"/>
    <w:rsid w:val="00CC4C2C"/>
    <w:rsid w:val="00CC5057"/>
    <w:rsid w:val="00CD078F"/>
    <w:rsid w:val="00CD121E"/>
    <w:rsid w:val="00CD28F0"/>
    <w:rsid w:val="00CD3ED8"/>
    <w:rsid w:val="00CD761D"/>
    <w:rsid w:val="00CD76B5"/>
    <w:rsid w:val="00CE2346"/>
    <w:rsid w:val="00CE6F0F"/>
    <w:rsid w:val="00CF002F"/>
    <w:rsid w:val="00CF0246"/>
    <w:rsid w:val="00CF2483"/>
    <w:rsid w:val="00CF24E2"/>
    <w:rsid w:val="00CF393D"/>
    <w:rsid w:val="00CF4ABD"/>
    <w:rsid w:val="00CF5A53"/>
    <w:rsid w:val="00CF5D28"/>
    <w:rsid w:val="00CF68B8"/>
    <w:rsid w:val="00CF6EAD"/>
    <w:rsid w:val="00CF6F1E"/>
    <w:rsid w:val="00D001F9"/>
    <w:rsid w:val="00D0036E"/>
    <w:rsid w:val="00D00BB7"/>
    <w:rsid w:val="00D0152A"/>
    <w:rsid w:val="00D01EAD"/>
    <w:rsid w:val="00D01F9E"/>
    <w:rsid w:val="00D035B9"/>
    <w:rsid w:val="00D060FF"/>
    <w:rsid w:val="00D064E8"/>
    <w:rsid w:val="00D06572"/>
    <w:rsid w:val="00D065CD"/>
    <w:rsid w:val="00D12325"/>
    <w:rsid w:val="00D14487"/>
    <w:rsid w:val="00D15E7E"/>
    <w:rsid w:val="00D20016"/>
    <w:rsid w:val="00D207A7"/>
    <w:rsid w:val="00D2279F"/>
    <w:rsid w:val="00D22AF1"/>
    <w:rsid w:val="00D22E93"/>
    <w:rsid w:val="00D242DA"/>
    <w:rsid w:val="00D247EC"/>
    <w:rsid w:val="00D26448"/>
    <w:rsid w:val="00D264CE"/>
    <w:rsid w:val="00D26670"/>
    <w:rsid w:val="00D26910"/>
    <w:rsid w:val="00D27B8B"/>
    <w:rsid w:val="00D31B6E"/>
    <w:rsid w:val="00D3232B"/>
    <w:rsid w:val="00D3239F"/>
    <w:rsid w:val="00D324A4"/>
    <w:rsid w:val="00D3250C"/>
    <w:rsid w:val="00D328F6"/>
    <w:rsid w:val="00D345D4"/>
    <w:rsid w:val="00D3462C"/>
    <w:rsid w:val="00D35198"/>
    <w:rsid w:val="00D3584B"/>
    <w:rsid w:val="00D4081B"/>
    <w:rsid w:val="00D413C3"/>
    <w:rsid w:val="00D42240"/>
    <w:rsid w:val="00D427C3"/>
    <w:rsid w:val="00D42EB8"/>
    <w:rsid w:val="00D43D3C"/>
    <w:rsid w:val="00D44932"/>
    <w:rsid w:val="00D451FA"/>
    <w:rsid w:val="00D45818"/>
    <w:rsid w:val="00D46111"/>
    <w:rsid w:val="00D47C16"/>
    <w:rsid w:val="00D502AF"/>
    <w:rsid w:val="00D50764"/>
    <w:rsid w:val="00D50C12"/>
    <w:rsid w:val="00D51A77"/>
    <w:rsid w:val="00D5267B"/>
    <w:rsid w:val="00D53649"/>
    <w:rsid w:val="00D53830"/>
    <w:rsid w:val="00D54FB3"/>
    <w:rsid w:val="00D55889"/>
    <w:rsid w:val="00D56B5F"/>
    <w:rsid w:val="00D56B9B"/>
    <w:rsid w:val="00D57A3F"/>
    <w:rsid w:val="00D57AF0"/>
    <w:rsid w:val="00D62ECD"/>
    <w:rsid w:val="00D64426"/>
    <w:rsid w:val="00D65D78"/>
    <w:rsid w:val="00D67BC5"/>
    <w:rsid w:val="00D7021B"/>
    <w:rsid w:val="00D70D28"/>
    <w:rsid w:val="00D70D33"/>
    <w:rsid w:val="00D73077"/>
    <w:rsid w:val="00D736A2"/>
    <w:rsid w:val="00D73C57"/>
    <w:rsid w:val="00D742FF"/>
    <w:rsid w:val="00D758B3"/>
    <w:rsid w:val="00D76ADC"/>
    <w:rsid w:val="00D77413"/>
    <w:rsid w:val="00D81F10"/>
    <w:rsid w:val="00D84A57"/>
    <w:rsid w:val="00D874DF"/>
    <w:rsid w:val="00D87A12"/>
    <w:rsid w:val="00D930E1"/>
    <w:rsid w:val="00D9415C"/>
    <w:rsid w:val="00D942CC"/>
    <w:rsid w:val="00D94D87"/>
    <w:rsid w:val="00D962DC"/>
    <w:rsid w:val="00DA180C"/>
    <w:rsid w:val="00DA3E7B"/>
    <w:rsid w:val="00DA418E"/>
    <w:rsid w:val="00DA451D"/>
    <w:rsid w:val="00DA56DB"/>
    <w:rsid w:val="00DA6452"/>
    <w:rsid w:val="00DA6FE9"/>
    <w:rsid w:val="00DA7925"/>
    <w:rsid w:val="00DB0AB8"/>
    <w:rsid w:val="00DB0D2A"/>
    <w:rsid w:val="00DB11CD"/>
    <w:rsid w:val="00DB1DAB"/>
    <w:rsid w:val="00DB39D4"/>
    <w:rsid w:val="00DB3A47"/>
    <w:rsid w:val="00DB4E06"/>
    <w:rsid w:val="00DB6A80"/>
    <w:rsid w:val="00DB6C06"/>
    <w:rsid w:val="00DB7B06"/>
    <w:rsid w:val="00DC3A9D"/>
    <w:rsid w:val="00DC6C1E"/>
    <w:rsid w:val="00DC7951"/>
    <w:rsid w:val="00DD1C4B"/>
    <w:rsid w:val="00DD1F7B"/>
    <w:rsid w:val="00DD229E"/>
    <w:rsid w:val="00DD3029"/>
    <w:rsid w:val="00DD55E0"/>
    <w:rsid w:val="00DE1904"/>
    <w:rsid w:val="00DE2ED2"/>
    <w:rsid w:val="00DE3DBB"/>
    <w:rsid w:val="00DE43A2"/>
    <w:rsid w:val="00DE4A74"/>
    <w:rsid w:val="00DE4B05"/>
    <w:rsid w:val="00DE541C"/>
    <w:rsid w:val="00DE737B"/>
    <w:rsid w:val="00DF100B"/>
    <w:rsid w:val="00DF4359"/>
    <w:rsid w:val="00DF73C1"/>
    <w:rsid w:val="00DF7751"/>
    <w:rsid w:val="00E009B1"/>
    <w:rsid w:val="00E01190"/>
    <w:rsid w:val="00E031BB"/>
    <w:rsid w:val="00E0576C"/>
    <w:rsid w:val="00E068BC"/>
    <w:rsid w:val="00E073F0"/>
    <w:rsid w:val="00E10761"/>
    <w:rsid w:val="00E11D7A"/>
    <w:rsid w:val="00E11EEB"/>
    <w:rsid w:val="00E128F2"/>
    <w:rsid w:val="00E13EE4"/>
    <w:rsid w:val="00E16463"/>
    <w:rsid w:val="00E1660B"/>
    <w:rsid w:val="00E239D1"/>
    <w:rsid w:val="00E246B9"/>
    <w:rsid w:val="00E26727"/>
    <w:rsid w:val="00E26970"/>
    <w:rsid w:val="00E27791"/>
    <w:rsid w:val="00E30F2D"/>
    <w:rsid w:val="00E319DB"/>
    <w:rsid w:val="00E31AFC"/>
    <w:rsid w:val="00E32E96"/>
    <w:rsid w:val="00E3409E"/>
    <w:rsid w:val="00E34F76"/>
    <w:rsid w:val="00E37BE5"/>
    <w:rsid w:val="00E41A27"/>
    <w:rsid w:val="00E4608B"/>
    <w:rsid w:val="00E46D7F"/>
    <w:rsid w:val="00E501D3"/>
    <w:rsid w:val="00E53A01"/>
    <w:rsid w:val="00E564C4"/>
    <w:rsid w:val="00E567C9"/>
    <w:rsid w:val="00E604C4"/>
    <w:rsid w:val="00E60809"/>
    <w:rsid w:val="00E61300"/>
    <w:rsid w:val="00E635B9"/>
    <w:rsid w:val="00E65D15"/>
    <w:rsid w:val="00E67EE5"/>
    <w:rsid w:val="00E7013A"/>
    <w:rsid w:val="00E74F5D"/>
    <w:rsid w:val="00E76034"/>
    <w:rsid w:val="00E80440"/>
    <w:rsid w:val="00E8064E"/>
    <w:rsid w:val="00E817E0"/>
    <w:rsid w:val="00E82EE4"/>
    <w:rsid w:val="00E831E7"/>
    <w:rsid w:val="00E843B5"/>
    <w:rsid w:val="00E84A3B"/>
    <w:rsid w:val="00E85307"/>
    <w:rsid w:val="00E85B0A"/>
    <w:rsid w:val="00E907E4"/>
    <w:rsid w:val="00E90A24"/>
    <w:rsid w:val="00E90C34"/>
    <w:rsid w:val="00E919AC"/>
    <w:rsid w:val="00E946A6"/>
    <w:rsid w:val="00E947E4"/>
    <w:rsid w:val="00E96A29"/>
    <w:rsid w:val="00E96B28"/>
    <w:rsid w:val="00E96FE6"/>
    <w:rsid w:val="00EA1D43"/>
    <w:rsid w:val="00EA4EC9"/>
    <w:rsid w:val="00EA5E0F"/>
    <w:rsid w:val="00EA6FE4"/>
    <w:rsid w:val="00EA798D"/>
    <w:rsid w:val="00EA7F4C"/>
    <w:rsid w:val="00EB1D47"/>
    <w:rsid w:val="00EB2146"/>
    <w:rsid w:val="00EB2317"/>
    <w:rsid w:val="00EB279B"/>
    <w:rsid w:val="00EB2ABB"/>
    <w:rsid w:val="00EB584C"/>
    <w:rsid w:val="00EB5863"/>
    <w:rsid w:val="00EB5D88"/>
    <w:rsid w:val="00EB7307"/>
    <w:rsid w:val="00EC14B0"/>
    <w:rsid w:val="00EC204E"/>
    <w:rsid w:val="00EC249E"/>
    <w:rsid w:val="00EC2CFF"/>
    <w:rsid w:val="00EC5F2F"/>
    <w:rsid w:val="00EC651E"/>
    <w:rsid w:val="00EC692E"/>
    <w:rsid w:val="00EC745E"/>
    <w:rsid w:val="00EC7EAF"/>
    <w:rsid w:val="00ED27C3"/>
    <w:rsid w:val="00ED33AE"/>
    <w:rsid w:val="00ED3775"/>
    <w:rsid w:val="00ED4A6D"/>
    <w:rsid w:val="00ED6D4A"/>
    <w:rsid w:val="00ED738C"/>
    <w:rsid w:val="00ED7918"/>
    <w:rsid w:val="00ED7FD3"/>
    <w:rsid w:val="00EE281A"/>
    <w:rsid w:val="00EE2A61"/>
    <w:rsid w:val="00EE3663"/>
    <w:rsid w:val="00EE41C4"/>
    <w:rsid w:val="00EE76A9"/>
    <w:rsid w:val="00EE799E"/>
    <w:rsid w:val="00EE7CA8"/>
    <w:rsid w:val="00EE7FA7"/>
    <w:rsid w:val="00EF1093"/>
    <w:rsid w:val="00EF1FCB"/>
    <w:rsid w:val="00EF21C3"/>
    <w:rsid w:val="00EF2E6B"/>
    <w:rsid w:val="00EF72F9"/>
    <w:rsid w:val="00F0030E"/>
    <w:rsid w:val="00F00CD1"/>
    <w:rsid w:val="00F01E6B"/>
    <w:rsid w:val="00F0241C"/>
    <w:rsid w:val="00F05759"/>
    <w:rsid w:val="00F10CB9"/>
    <w:rsid w:val="00F110D5"/>
    <w:rsid w:val="00F12351"/>
    <w:rsid w:val="00F15193"/>
    <w:rsid w:val="00F16739"/>
    <w:rsid w:val="00F16DE2"/>
    <w:rsid w:val="00F2052B"/>
    <w:rsid w:val="00F2260F"/>
    <w:rsid w:val="00F242AD"/>
    <w:rsid w:val="00F247F2"/>
    <w:rsid w:val="00F252A8"/>
    <w:rsid w:val="00F25E9F"/>
    <w:rsid w:val="00F265F7"/>
    <w:rsid w:val="00F27FA6"/>
    <w:rsid w:val="00F33DC8"/>
    <w:rsid w:val="00F34444"/>
    <w:rsid w:val="00F4065A"/>
    <w:rsid w:val="00F4275C"/>
    <w:rsid w:val="00F45693"/>
    <w:rsid w:val="00F46F8C"/>
    <w:rsid w:val="00F52339"/>
    <w:rsid w:val="00F5277A"/>
    <w:rsid w:val="00F532E8"/>
    <w:rsid w:val="00F537FF"/>
    <w:rsid w:val="00F54E36"/>
    <w:rsid w:val="00F560FE"/>
    <w:rsid w:val="00F6111C"/>
    <w:rsid w:val="00F614C0"/>
    <w:rsid w:val="00F61647"/>
    <w:rsid w:val="00F657CF"/>
    <w:rsid w:val="00F66A00"/>
    <w:rsid w:val="00F70841"/>
    <w:rsid w:val="00F713A3"/>
    <w:rsid w:val="00F71A8F"/>
    <w:rsid w:val="00F75330"/>
    <w:rsid w:val="00F76BD9"/>
    <w:rsid w:val="00F80318"/>
    <w:rsid w:val="00F80703"/>
    <w:rsid w:val="00F80948"/>
    <w:rsid w:val="00F81387"/>
    <w:rsid w:val="00F822E3"/>
    <w:rsid w:val="00F82555"/>
    <w:rsid w:val="00F82866"/>
    <w:rsid w:val="00F841FB"/>
    <w:rsid w:val="00F84421"/>
    <w:rsid w:val="00F8449B"/>
    <w:rsid w:val="00F85691"/>
    <w:rsid w:val="00F87032"/>
    <w:rsid w:val="00F87094"/>
    <w:rsid w:val="00F87AB3"/>
    <w:rsid w:val="00F913DC"/>
    <w:rsid w:val="00F91DDA"/>
    <w:rsid w:val="00F9397A"/>
    <w:rsid w:val="00F93A37"/>
    <w:rsid w:val="00F94182"/>
    <w:rsid w:val="00F944D9"/>
    <w:rsid w:val="00F94DB3"/>
    <w:rsid w:val="00F95710"/>
    <w:rsid w:val="00F96500"/>
    <w:rsid w:val="00FA413A"/>
    <w:rsid w:val="00FA4144"/>
    <w:rsid w:val="00FA4DDF"/>
    <w:rsid w:val="00FA6E7F"/>
    <w:rsid w:val="00FA7114"/>
    <w:rsid w:val="00FA7845"/>
    <w:rsid w:val="00FB2379"/>
    <w:rsid w:val="00FB4B8A"/>
    <w:rsid w:val="00FB5152"/>
    <w:rsid w:val="00FB680E"/>
    <w:rsid w:val="00FC0065"/>
    <w:rsid w:val="00FC062F"/>
    <w:rsid w:val="00FC3AEE"/>
    <w:rsid w:val="00FC6238"/>
    <w:rsid w:val="00FD33FC"/>
    <w:rsid w:val="00FD3730"/>
    <w:rsid w:val="00FD3ADE"/>
    <w:rsid w:val="00FD3B08"/>
    <w:rsid w:val="00FD4806"/>
    <w:rsid w:val="00FD4BA4"/>
    <w:rsid w:val="00FD534E"/>
    <w:rsid w:val="00FD56C7"/>
    <w:rsid w:val="00FD5CBB"/>
    <w:rsid w:val="00FD6B74"/>
    <w:rsid w:val="00FD70AE"/>
    <w:rsid w:val="00FE002E"/>
    <w:rsid w:val="00FE2398"/>
    <w:rsid w:val="00FE515A"/>
    <w:rsid w:val="00FE5624"/>
    <w:rsid w:val="00FE5D2C"/>
    <w:rsid w:val="00FE5FBF"/>
    <w:rsid w:val="00FE6C25"/>
    <w:rsid w:val="00FF033A"/>
    <w:rsid w:val="00FF0964"/>
    <w:rsid w:val="00FF16F2"/>
    <w:rsid w:val="00FF2B42"/>
    <w:rsid w:val="00FF3B7F"/>
    <w:rsid w:val="00FF4F92"/>
    <w:rsid w:val="00FF6822"/>
    <w:rsid w:val="00FF73D0"/>
    <w:rsid w:val="00FF79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894F0AB"/>
  <w15:chartTrackingRefBased/>
  <w15:docId w15:val="{FEDE6542-C391-4C39-B678-AEFFDAC020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qFormat/>
    <w:rsid w:val="005831DD"/>
    <w:p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spacing w:before="120"/>
      <w:outlineLvl w:val="2"/>
    </w:pPr>
    <w:rPr>
      <w:sz w:val="28"/>
    </w:rPr>
  </w:style>
  <w:style w:type="paragraph" w:styleId="Heading4">
    <w:name w:val="heading 4"/>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lang w:eastAsia="x-none"/>
    </w:rPr>
  </w:style>
  <w:style w:type="paragraph" w:customStyle="1" w:styleId="TAH">
    <w:name w:val="TAH"/>
    <w:basedOn w:val="TAC"/>
    <w:rsid w:val="005831DD"/>
    <w:rPr>
      <w:b/>
    </w:rPr>
  </w:style>
  <w:style w:type="paragraph" w:customStyle="1" w:styleId="TAC">
    <w:name w:val="TAC"/>
    <w:basedOn w:val="TAL"/>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lang w:eastAsia="x-none"/>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180-Table-Caption"/>
    <w:basedOn w:val="Normal"/>
    <w:next w:val="Normal"/>
    <w:link w:val="CaptionChar1"/>
    <w:qFormat/>
    <w:rsid w:val="005831DD"/>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180-Table-Caption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rPr>
      <w:lang w:eastAsia="x-none"/>
    </w:r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semiHidden/>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link w:val="ListParagraph"/>
    <w:uiPriority w:val="34"/>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st">
    <w:name w:val="st"/>
    <w:rsid w:val="00B44B6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398672059">
      <w:bodyDiv w:val="1"/>
      <w:marLeft w:val="0"/>
      <w:marRight w:val="0"/>
      <w:marTop w:val="0"/>
      <w:marBottom w:val="0"/>
      <w:divBdr>
        <w:top w:val="none" w:sz="0" w:space="0" w:color="auto"/>
        <w:left w:val="none" w:sz="0" w:space="0" w:color="auto"/>
        <w:bottom w:val="none" w:sz="0" w:space="0" w:color="auto"/>
        <w:right w:val="none" w:sz="0" w:space="0" w:color="auto"/>
      </w:divBdr>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81483405">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78673768">
      <w:bodyDiv w:val="1"/>
      <w:marLeft w:val="0"/>
      <w:marRight w:val="0"/>
      <w:marTop w:val="0"/>
      <w:marBottom w:val="0"/>
      <w:divBdr>
        <w:top w:val="none" w:sz="0" w:space="0" w:color="auto"/>
        <w:left w:val="none" w:sz="0" w:space="0" w:color="auto"/>
        <w:bottom w:val="none" w:sz="0" w:space="0" w:color="auto"/>
        <w:right w:val="none" w:sz="0" w:space="0" w:color="auto"/>
      </w:divBdr>
      <w:divsChild>
        <w:div w:id="1660039435">
          <w:marLeft w:val="446"/>
          <w:marRight w:val="0"/>
          <w:marTop w:val="0"/>
          <w:marBottom w:val="120"/>
          <w:divBdr>
            <w:top w:val="none" w:sz="0" w:space="0" w:color="auto"/>
            <w:left w:val="none" w:sz="0" w:space="0" w:color="auto"/>
            <w:bottom w:val="none" w:sz="0" w:space="0" w:color="auto"/>
            <w:right w:val="none" w:sz="0" w:space="0" w:color="auto"/>
          </w:divBdr>
        </w:div>
        <w:div w:id="549653979">
          <w:marLeft w:val="1166"/>
          <w:marRight w:val="0"/>
          <w:marTop w:val="0"/>
          <w:marBottom w:val="120"/>
          <w:divBdr>
            <w:top w:val="none" w:sz="0" w:space="0" w:color="auto"/>
            <w:left w:val="none" w:sz="0" w:space="0" w:color="auto"/>
            <w:bottom w:val="none" w:sz="0" w:space="0" w:color="auto"/>
            <w:right w:val="none" w:sz="0" w:space="0" w:color="auto"/>
          </w:divBdr>
        </w:div>
        <w:div w:id="893857814">
          <w:marLeft w:val="446"/>
          <w:marRight w:val="0"/>
          <w:marTop w:val="0"/>
          <w:marBottom w:val="120"/>
          <w:divBdr>
            <w:top w:val="none" w:sz="0" w:space="0" w:color="auto"/>
            <w:left w:val="none" w:sz="0" w:space="0" w:color="auto"/>
            <w:bottom w:val="none" w:sz="0" w:space="0" w:color="auto"/>
            <w:right w:val="none" w:sz="0" w:space="0" w:color="auto"/>
          </w:divBdr>
        </w:div>
        <w:div w:id="838497941">
          <w:marLeft w:val="1166"/>
          <w:marRight w:val="0"/>
          <w:marTop w:val="0"/>
          <w:marBottom w:val="120"/>
          <w:divBdr>
            <w:top w:val="none" w:sz="0" w:space="0" w:color="auto"/>
            <w:left w:val="none" w:sz="0" w:space="0" w:color="auto"/>
            <w:bottom w:val="none" w:sz="0" w:space="0" w:color="auto"/>
            <w:right w:val="none" w:sz="0" w:space="0" w:color="auto"/>
          </w:divBdr>
        </w:div>
        <w:div w:id="74475177">
          <w:marLeft w:val="446"/>
          <w:marRight w:val="0"/>
          <w:marTop w:val="0"/>
          <w:marBottom w:val="120"/>
          <w:divBdr>
            <w:top w:val="none" w:sz="0" w:space="0" w:color="auto"/>
            <w:left w:val="none" w:sz="0" w:space="0" w:color="auto"/>
            <w:bottom w:val="none" w:sz="0" w:space="0" w:color="auto"/>
            <w:right w:val="none" w:sz="0" w:space="0" w:color="auto"/>
          </w:divBdr>
        </w:div>
        <w:div w:id="166016589">
          <w:marLeft w:val="1166"/>
          <w:marRight w:val="0"/>
          <w:marTop w:val="0"/>
          <w:marBottom w:val="120"/>
          <w:divBdr>
            <w:top w:val="none" w:sz="0" w:space="0" w:color="auto"/>
            <w:left w:val="none" w:sz="0" w:space="0" w:color="auto"/>
            <w:bottom w:val="none" w:sz="0" w:space="0" w:color="auto"/>
            <w:right w:val="none" w:sz="0" w:space="0" w:color="auto"/>
          </w:divBdr>
        </w:div>
      </w:divsChild>
    </w:div>
    <w:div w:id="1184050041">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1347965">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3D7957DE8F4C7428D913A84920F99E8" ma:contentTypeVersion="6" ma:contentTypeDescription="Create a new document." ma:contentTypeScope="" ma:versionID="5d0dcfc0ac33fcf5fc40e69c9bf02002">
  <xsd:schema xmlns:xsd="http://www.w3.org/2001/XMLSchema" xmlns:xs="http://www.w3.org/2001/XMLSchema" xmlns:p="http://schemas.microsoft.com/office/2006/metadata/properties" xmlns:ns1="http://schemas.microsoft.com/sharepoint/v3" xmlns:ns2="3e5469df-49c0-4f8e-8391-f585965f44db" xmlns:ns3="28c2b7ba-9a77-416a-84c3-ad5406b8260e" targetNamespace="http://schemas.microsoft.com/office/2006/metadata/properties" ma:root="true" ma:fieldsID="b13c359d71ba4ebb58f45b64a4eeeeea" ns1:_="" ns2:_="" ns3:_="">
    <xsd:import namespace="http://schemas.microsoft.com/sharepoint/v3"/>
    <xsd:import namespace="3e5469df-49c0-4f8e-8391-f585965f44db"/>
    <xsd:import namespace="28c2b7ba-9a77-416a-84c3-ad5406b8260e"/>
    <xsd:element name="properties">
      <xsd:complexType>
        <xsd:sequence>
          <xsd:element name="documentManagement">
            <xsd:complexType>
              <xsd:all>
                <xsd:element ref="ns2:TaxKeywordTaxHTField" minOccurs="0"/>
                <xsd:element ref="ns2:TaxCatchAll" minOccurs="0"/>
                <xsd:element ref="ns3:NGTagNote" minOccurs="0"/>
                <xsd:element ref="ns1:AverageRating" minOccurs="0"/>
                <xsd:element ref="ns1:RatingCou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AverageRating" ma:index="12" nillable="true" ma:displayName="Rating (0-5)" ma:decimals="2" ma:description="Average value of all the ratings that have been submitted" ma:internalName="AverageRating" ma:readOnly="true">
      <xsd:simpleType>
        <xsd:restriction base="dms:Number"/>
      </xsd:simpleType>
    </xsd:element>
    <xsd:element name="RatingCount" ma:index="13" nillable="true" ma:displayName="Number of Ratings" ma:decimals="0" ma:description="Number of ratings submitted" ma:internalName="RatingCount" ma:readOnly="tru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3e5469df-49c0-4f8e-8391-f585965f44db" elementFormDefault="qualified">
    <xsd:import namespace="http://schemas.microsoft.com/office/2006/documentManagement/types"/>
    <xsd:import namespace="http://schemas.microsoft.com/office/infopath/2007/PartnerControls"/>
    <xsd:element name="TaxKeywordTaxHTField" ma:index="9" nillable="true" ma:taxonomy="true" ma:internalName="TaxKeywordTaxHTField" ma:taxonomyFieldName="TaxKeyword" ma:displayName="Enterprise Keywords" ma:fieldId="{23f27201-bee3-471e-b2e7-b64fd8b7ca38}" ma:taxonomyMulti="true" ma:sspId="17a43e0a-ccfe-467d-8f6c-e152e644ee6c" ma:termSetId="00000000-0000-0000-0000-000000000000" ma:anchorId="00000000-0000-0000-0000-000000000000" ma:open="true" ma:isKeyword="true">
      <xsd:complexType>
        <xsd:sequence>
          <xsd:element ref="pc:Terms" minOccurs="0" maxOccurs="1"/>
        </xsd:sequence>
      </xsd:complexType>
    </xsd:element>
    <xsd:element name="TaxCatchAll" ma:index="10" nillable="true" ma:displayName="Taxonomy Catch All Column" ma:hidden="true" ma:list="{31a13ab1-dc5d-4811-af4e-a38af362efa9}" ma:internalName="TaxCatchAll" ma:showField="CatchAllData" ma:web="3e5469df-49c0-4f8e-8391-f585965f44d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8c2b7ba-9a77-416a-84c3-ad5406b8260e" elementFormDefault="qualified">
    <xsd:import namespace="http://schemas.microsoft.com/office/2006/documentManagement/types"/>
    <xsd:import namespace="http://schemas.microsoft.com/office/infopath/2007/PartnerControls"/>
    <xsd:element name="NGTagNote" ma:index="11" nillable="true" ma:displayName="Tags and Notes" ma:decimals="2" ma:internalName="_x0024_Resources_x003a_NewsGatorWSS_x002c_Fields_TagNotesName_x003b_">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3e5469df-49c0-4f8e-8391-f585965f44db"/>
    <NGTagNote xmlns="28c2b7ba-9a77-416a-84c3-ad5406b8260e" xsi:nil="true"/>
    <TaxKeywordTaxHTField xmlns="3e5469df-49c0-4f8e-8391-f585965f44db">
      <Terms xmlns="http://schemas.microsoft.com/office/infopath/2007/PartnerControls"/>
    </TaxKeywordTaxHTField>
    <AverageRating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534FBE-AC81-460A-83CB-A5F1A398F3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e5469df-49c0-4f8e-8391-f585965f44db"/>
    <ds:schemaRef ds:uri="28c2b7ba-9a77-416a-84c3-ad5406b826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3e5469df-49c0-4f8e-8391-f585965f44db"/>
    <ds:schemaRef ds:uri="28c2b7ba-9a77-416a-84c3-ad5406b8260e"/>
    <ds:schemaRef ds:uri="http://schemas.microsoft.com/sharepoint/v3"/>
  </ds:schemaRefs>
</ds:datastoreItem>
</file>

<file path=customXml/itemProps3.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4.xml><?xml version="1.0" encoding="utf-8"?>
<ds:datastoreItem xmlns:ds="http://schemas.openxmlformats.org/officeDocument/2006/customXml" ds:itemID="{9505F9B6-F97D-4C9A-B7CD-B8BCD0847E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68</TotalTime>
  <Pages>5</Pages>
  <Words>1327</Words>
  <Characters>10754</Characters>
  <Application>Microsoft Office Word</Application>
  <DocSecurity>0</DocSecurity>
  <Lines>89</Lines>
  <Paragraphs>24</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12057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cp:lastModifiedBy>Ranta-Aho, Karri (Nokia - FI/Espoo)</cp:lastModifiedBy>
  <cp:revision>7</cp:revision>
  <cp:lastPrinted>2016-06-20T11:35:00Z</cp:lastPrinted>
  <dcterms:created xsi:type="dcterms:W3CDTF">2017-01-09T13:07:00Z</dcterms:created>
  <dcterms:modified xsi:type="dcterms:W3CDTF">2017-01-09T20:41:00Z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0x01010083D7957DE8F4C7428D913A84920F99E8</vt:lpwstr>
  </property>
  <property fmtid="{D5CDD505-2E9C-101B-9397-08002B2CF9AE}" pid="6" name="TaxKeyword">
    <vt:lpwstr/>
  </property>
  <property fmtid="{D5CDD505-2E9C-101B-9397-08002B2CF9AE}" pid="7" name="AverageRating">
    <vt:lpwstr/>
  </property>
</Properties>
</file>